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E0C" w:rsidRPr="003D7670" w:rsidRDefault="00C63E0C" w:rsidP="00C63E0C">
      <w:pPr>
        <w:pStyle w:val="1"/>
        <w:numPr>
          <w:ilvl w:val="0"/>
          <w:numId w:val="0"/>
        </w:numPr>
        <w:spacing w:line="288" w:lineRule="auto"/>
        <w:jc w:val="left"/>
        <w:rPr>
          <w:rFonts w:ascii="Calibri" w:hAnsi="Calibri" w:cs="Calibri"/>
          <w:b w:val="0"/>
        </w:rPr>
      </w:pPr>
      <w:bookmarkStart w:id="0" w:name="_Toc35439145"/>
      <w:bookmarkStart w:id="1" w:name="_Toc105414055"/>
      <w:bookmarkStart w:id="2" w:name="_GoBack"/>
      <w:bookmarkEnd w:id="2"/>
      <w:r w:rsidRPr="003D7670">
        <w:rPr>
          <w:rFonts w:ascii="Calibri" w:hAnsi="Calibri" w:cs="Calibri"/>
        </w:rPr>
        <w:t>ΠΑΡΑΡΤΗΜΑ V – Υπόδειγμα Οικονομικής Προσφοράς</w:t>
      </w:r>
      <w:bookmarkEnd w:id="0"/>
      <w:bookmarkEnd w:id="1"/>
    </w:p>
    <w:p w:rsidR="00C63E0C" w:rsidRPr="003D7670" w:rsidRDefault="00C63E0C" w:rsidP="00C63E0C">
      <w:pPr>
        <w:spacing w:line="288" w:lineRule="auto"/>
        <w:rPr>
          <w:rFonts w:ascii="Calibri" w:hAnsi="Calibri" w:cs="Calibri"/>
        </w:rPr>
      </w:pPr>
    </w:p>
    <w:p w:rsidR="00C63E0C" w:rsidRPr="003D7670" w:rsidRDefault="00C63E0C" w:rsidP="00C63E0C">
      <w:pPr>
        <w:spacing w:line="288" w:lineRule="auto"/>
        <w:jc w:val="center"/>
        <w:rPr>
          <w:rFonts w:ascii="Calibri" w:hAnsi="Calibri" w:cs="Calibri"/>
          <w:b/>
        </w:rPr>
      </w:pPr>
      <w:r w:rsidRPr="003D7670">
        <w:rPr>
          <w:rFonts w:ascii="Calibri" w:hAnsi="Calibri" w:cs="Calibri"/>
          <w:b/>
        </w:rPr>
        <w:t>Συγκεντρωτικός Πίνακας Οικονομικής Προσφοράς της Σύμβασης</w:t>
      </w:r>
    </w:p>
    <w:p w:rsidR="00C63E0C" w:rsidRPr="003D7670" w:rsidRDefault="00C63E0C" w:rsidP="00C63E0C">
      <w:pPr>
        <w:autoSpaceDE w:val="0"/>
        <w:spacing w:line="288" w:lineRule="auto"/>
        <w:ind w:left="360"/>
        <w:rPr>
          <w:rFonts w:ascii="Calibri" w:hAnsi="Calibri" w:cs="Calibri"/>
        </w:rPr>
      </w:pPr>
    </w:p>
    <w:tbl>
      <w:tblPr>
        <w:tblStyle w:val="a3"/>
        <w:tblpPr w:leftFromText="180" w:rightFromText="180" w:vertAnchor="text" w:tblpY="1"/>
        <w:tblOverlap w:val="never"/>
        <w:tblW w:w="5000" w:type="pct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5"/>
        <w:gridCol w:w="971"/>
        <w:gridCol w:w="1056"/>
        <w:gridCol w:w="1615"/>
        <w:gridCol w:w="1329"/>
      </w:tblGrid>
      <w:tr w:rsidR="00C63E0C" w:rsidRPr="003D7670" w:rsidTr="00DB4931">
        <w:trPr>
          <w:trHeight w:val="132"/>
        </w:trPr>
        <w:tc>
          <w:tcPr>
            <w:tcW w:w="2055" w:type="pct"/>
            <w:tcBorders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  <w:rPr>
                <w:b/>
                <w:bCs/>
                <w:lang w:val="en-US"/>
              </w:rPr>
            </w:pPr>
            <w:r w:rsidRPr="003D7670">
              <w:rPr>
                <w:b/>
                <w:bCs/>
                <w:lang w:val="en-US"/>
              </w:rPr>
              <w:t>Κα</w:t>
            </w:r>
            <w:proofErr w:type="spellStart"/>
            <w:r w:rsidRPr="003D7670">
              <w:rPr>
                <w:b/>
                <w:bCs/>
                <w:lang w:val="en-US"/>
              </w:rPr>
              <w:t>τηγορί</w:t>
            </w:r>
            <w:proofErr w:type="spellEnd"/>
            <w:r w:rsidRPr="003D7670">
              <w:rPr>
                <w:b/>
                <w:bCs/>
                <w:lang w:val="en-US"/>
              </w:rPr>
              <w:t xml:space="preserve">α </w:t>
            </w:r>
            <w:proofErr w:type="spellStart"/>
            <w:r w:rsidRPr="003D7670">
              <w:rPr>
                <w:b/>
                <w:bCs/>
                <w:lang w:val="en-US"/>
              </w:rPr>
              <w:t>Κόστους</w:t>
            </w:r>
            <w:proofErr w:type="spellEnd"/>
          </w:p>
        </w:tc>
        <w:tc>
          <w:tcPr>
            <w:tcW w:w="632" w:type="pct"/>
            <w:tcBorders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D7670">
              <w:rPr>
                <w:b/>
                <w:bCs/>
                <w:lang w:val="en-US"/>
              </w:rPr>
              <w:t>Μονάδ</w:t>
            </w:r>
            <w:proofErr w:type="spellEnd"/>
            <w:r w:rsidRPr="003D7670">
              <w:rPr>
                <w:b/>
                <w:bCs/>
                <w:lang w:val="en-US"/>
              </w:rPr>
              <w:t>α</w:t>
            </w:r>
          </w:p>
        </w:tc>
        <w:tc>
          <w:tcPr>
            <w:tcW w:w="446" w:type="pct"/>
            <w:tcBorders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D7670">
              <w:rPr>
                <w:b/>
                <w:bCs/>
                <w:lang w:val="en-US"/>
              </w:rPr>
              <w:t>Αριθμός</w:t>
            </w:r>
            <w:proofErr w:type="spellEnd"/>
            <w:r w:rsidRPr="003D76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b/>
                <w:bCs/>
                <w:lang w:val="en-US"/>
              </w:rPr>
              <w:t>Μονάδων</w:t>
            </w:r>
            <w:proofErr w:type="spellEnd"/>
          </w:p>
        </w:tc>
        <w:tc>
          <w:tcPr>
            <w:tcW w:w="1020" w:type="pct"/>
            <w:tcBorders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  <w:rPr>
                <w:b/>
                <w:bCs/>
              </w:rPr>
            </w:pPr>
            <w:r w:rsidRPr="003D7670">
              <w:rPr>
                <w:b/>
                <w:bCs/>
              </w:rPr>
              <w:t>Μέσο Κόστος ανά μονάδα (€) με ΦΠΑ</w:t>
            </w:r>
          </w:p>
        </w:tc>
        <w:tc>
          <w:tcPr>
            <w:tcW w:w="847" w:type="pct"/>
            <w:tcBorders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  <w:rPr>
                <w:b/>
                <w:bCs/>
                <w:lang w:val="en-US"/>
              </w:rPr>
            </w:pPr>
            <w:proofErr w:type="spellStart"/>
            <w:r w:rsidRPr="003D7670">
              <w:rPr>
                <w:b/>
                <w:bCs/>
                <w:lang w:val="en-US"/>
              </w:rPr>
              <w:t>Εκτιμώμενο</w:t>
            </w:r>
            <w:proofErr w:type="spellEnd"/>
            <w:r w:rsidRPr="003D7670">
              <w:rPr>
                <w:b/>
                <w:bCs/>
                <w:lang w:val="en-US"/>
              </w:rPr>
              <w:t xml:space="preserve"> </w:t>
            </w:r>
            <w:r w:rsidRPr="003D7670">
              <w:rPr>
                <w:b/>
                <w:bCs/>
              </w:rPr>
              <w:t>συνολικό</w:t>
            </w:r>
            <w:r w:rsidRPr="003D7670">
              <w:rPr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b/>
                <w:bCs/>
                <w:lang w:val="en-US"/>
              </w:rPr>
              <w:t>κόστος</w:t>
            </w:r>
            <w:proofErr w:type="spellEnd"/>
            <w:r w:rsidRPr="003D7670">
              <w:rPr>
                <w:b/>
                <w:bCs/>
                <w:lang w:val="en-US"/>
              </w:rPr>
              <w:t xml:space="preserve"> (€)</w:t>
            </w:r>
          </w:p>
        </w:tc>
      </w:tr>
      <w:tr w:rsidR="00C63E0C" w:rsidRPr="003D7670" w:rsidTr="00DB4931">
        <w:trPr>
          <w:trHeight w:val="70"/>
        </w:trPr>
        <w:tc>
          <w:tcPr>
            <w:tcW w:w="2055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r w:rsidRPr="003D7670">
              <w:rPr>
                <w:color w:val="000000"/>
              </w:rPr>
              <w:t>Δημιουργία 5 θεματικών IEK</w:t>
            </w:r>
          </w:p>
        </w:tc>
        <w:tc>
          <w:tcPr>
            <w:tcW w:w="632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</w:pPr>
            <w:r w:rsidRPr="003D7670">
              <w:t>Αριθμός των ΙΕΚ</w:t>
            </w:r>
          </w:p>
        </w:tc>
        <w:tc>
          <w:tcPr>
            <w:tcW w:w="446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</w:pPr>
            <w:r w:rsidRPr="003D7670">
              <w:t>5</w:t>
            </w:r>
          </w:p>
        </w:tc>
        <w:tc>
          <w:tcPr>
            <w:tcW w:w="1020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</w:pPr>
            <w:r w:rsidRPr="003D7670">
              <w:t>.....</w:t>
            </w:r>
          </w:p>
        </w:tc>
        <w:tc>
          <w:tcPr>
            <w:tcW w:w="847" w:type="pct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</w:pPr>
            <w:r w:rsidRPr="003D7670">
              <w:t>......</w:t>
            </w:r>
          </w:p>
        </w:tc>
      </w:tr>
      <w:tr w:rsidR="00C63E0C" w:rsidRPr="003D7670" w:rsidTr="00DB4931">
        <w:trPr>
          <w:trHeight w:val="70"/>
        </w:trPr>
        <w:tc>
          <w:tcPr>
            <w:tcW w:w="2055" w:type="pct"/>
            <w:tcBorders>
              <w:top w:val="double" w:sz="4" w:space="0" w:color="auto"/>
            </w:tcBorders>
            <w:vAlign w:val="center"/>
          </w:tcPr>
          <w:p w:rsidR="00C63E0C" w:rsidRPr="003D7670" w:rsidRDefault="00C63E0C" w:rsidP="00DB4931">
            <w:pPr>
              <w:rPr>
                <w:color w:val="000000"/>
              </w:rPr>
            </w:pPr>
            <w:r w:rsidRPr="003D7670">
              <w:rPr>
                <w:color w:val="000000"/>
              </w:rPr>
              <w:t>Δημιουργία ή / και σταδιακός μετασχηματισμός 10 Πειραματικών IEK</w:t>
            </w:r>
          </w:p>
        </w:tc>
        <w:tc>
          <w:tcPr>
            <w:tcW w:w="632" w:type="pct"/>
            <w:tcBorders>
              <w:top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</w:pPr>
            <w:r w:rsidRPr="003D7670">
              <w:t>Αριθμός των ΙΕΚ</w:t>
            </w:r>
          </w:p>
        </w:tc>
        <w:tc>
          <w:tcPr>
            <w:tcW w:w="446" w:type="pct"/>
            <w:tcBorders>
              <w:top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center"/>
            </w:pPr>
            <w:r w:rsidRPr="003D7670">
              <w:t>10</w:t>
            </w:r>
          </w:p>
        </w:tc>
        <w:tc>
          <w:tcPr>
            <w:tcW w:w="1020" w:type="pct"/>
            <w:tcBorders>
              <w:top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  <w:rPr>
                <w:color w:val="000000"/>
              </w:rPr>
            </w:pPr>
            <w:r w:rsidRPr="003D7670">
              <w:rPr>
                <w:color w:val="000000"/>
              </w:rPr>
              <w:t>......</w:t>
            </w:r>
          </w:p>
        </w:tc>
        <w:tc>
          <w:tcPr>
            <w:tcW w:w="847" w:type="pct"/>
            <w:tcBorders>
              <w:top w:val="double" w:sz="4" w:space="0" w:color="auto"/>
            </w:tcBorders>
            <w:vAlign w:val="center"/>
          </w:tcPr>
          <w:p w:rsidR="00C63E0C" w:rsidRPr="003D7670" w:rsidRDefault="00C63E0C" w:rsidP="00DB4931">
            <w:pPr>
              <w:jc w:val="right"/>
              <w:rPr>
                <w:color w:val="000000"/>
              </w:rPr>
            </w:pPr>
            <w:r w:rsidRPr="003D7670">
              <w:rPr>
                <w:color w:val="000000"/>
              </w:rPr>
              <w:t>......</w:t>
            </w:r>
          </w:p>
        </w:tc>
      </w:tr>
    </w:tbl>
    <w:p w:rsidR="00C63E0C" w:rsidRPr="003D7670" w:rsidRDefault="00C63E0C" w:rsidP="00C63E0C">
      <w:pPr>
        <w:autoSpaceDE w:val="0"/>
        <w:spacing w:line="288" w:lineRule="auto"/>
        <w:rPr>
          <w:rFonts w:ascii="Calibri" w:hAnsi="Calibri"/>
        </w:rPr>
      </w:pPr>
    </w:p>
    <w:p w:rsidR="00C63E0C" w:rsidRPr="003D7670" w:rsidRDefault="00C63E0C" w:rsidP="00C63E0C">
      <w:pPr>
        <w:autoSpaceDE w:val="0"/>
        <w:spacing w:line="288" w:lineRule="auto"/>
        <w:rPr>
          <w:rFonts w:ascii="Calibri" w:hAnsi="Calibri"/>
          <w:u w:val="single"/>
        </w:rPr>
      </w:pPr>
      <w:r w:rsidRPr="003D7670">
        <w:rPr>
          <w:rFonts w:ascii="Calibri" w:hAnsi="Calibri"/>
          <w:u w:val="single"/>
        </w:rPr>
        <w:t>Ανάλυση:</w:t>
      </w:r>
    </w:p>
    <w:tbl>
      <w:tblPr>
        <w:tblStyle w:val="a3"/>
        <w:tblpPr w:leftFromText="180" w:rightFromText="180" w:vertAnchor="text" w:tblpX="-640" w:tblpY="1"/>
        <w:tblOverlap w:val="never"/>
        <w:tblW w:w="9355" w:type="dxa"/>
        <w:tblLayout w:type="fixed"/>
        <w:tblLook w:val="04A0" w:firstRow="1" w:lastRow="0" w:firstColumn="1" w:lastColumn="0" w:noHBand="0" w:noVBand="1"/>
      </w:tblPr>
      <w:tblGrid>
        <w:gridCol w:w="2425"/>
        <w:gridCol w:w="1620"/>
        <w:gridCol w:w="1710"/>
        <w:gridCol w:w="1080"/>
        <w:gridCol w:w="1350"/>
        <w:gridCol w:w="1170"/>
      </w:tblGrid>
      <w:tr w:rsidR="00C63E0C" w:rsidRPr="003D7670" w:rsidTr="00DB4931">
        <w:trPr>
          <w:trHeight w:val="132"/>
        </w:trPr>
        <w:tc>
          <w:tcPr>
            <w:tcW w:w="2425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Κα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τηγορί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α 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Κόστους</w:t>
            </w:r>
            <w:proofErr w:type="spellEnd"/>
          </w:p>
        </w:tc>
        <w:tc>
          <w:tcPr>
            <w:tcW w:w="162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Μονάδ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α</w:t>
            </w:r>
          </w:p>
        </w:tc>
        <w:tc>
          <w:tcPr>
            <w:tcW w:w="171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Αριθμός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Μονάδων</w:t>
            </w:r>
            <w:proofErr w:type="spellEnd"/>
          </w:p>
        </w:tc>
        <w:tc>
          <w:tcPr>
            <w:tcW w:w="108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Μέσο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Κόστος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α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νά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μονάδ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α (</w:t>
            </w:r>
            <w:r w:rsidRPr="003D7670">
              <w:rPr>
                <w:rFonts w:asciiTheme="minorHAnsi" w:hAnsiTheme="minorHAnsi" w:cstheme="minorHAnsi"/>
                <w:b/>
                <w:bCs/>
              </w:rPr>
              <w:t>€</w:t>
            </w:r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)</w:t>
            </w:r>
          </w:p>
        </w:tc>
        <w:tc>
          <w:tcPr>
            <w:tcW w:w="135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Εκτιμώμενο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καθα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ρό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</w:t>
            </w:r>
            <w:proofErr w:type="spellStart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>κόστος</w:t>
            </w:r>
            <w:proofErr w:type="spellEnd"/>
            <w:r w:rsidRPr="003D7670">
              <w:rPr>
                <w:rFonts w:asciiTheme="minorHAnsi" w:hAnsiTheme="minorHAnsi" w:cstheme="minorHAnsi"/>
                <w:b/>
                <w:bCs/>
                <w:lang w:val="en-US"/>
              </w:rPr>
              <w:t xml:space="preserve"> (€)</w:t>
            </w:r>
          </w:p>
        </w:tc>
        <w:tc>
          <w:tcPr>
            <w:tcW w:w="117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b/>
                <w:bCs/>
              </w:rPr>
              <w:t>Μικτό Κόστος με ΦΠΑ</w:t>
            </w:r>
          </w:p>
        </w:tc>
      </w:tr>
      <w:tr w:rsidR="00C63E0C" w:rsidRPr="003D7670" w:rsidTr="00DB4931">
        <w:trPr>
          <w:trHeight w:val="437"/>
        </w:trPr>
        <w:tc>
          <w:tcPr>
            <w:tcW w:w="2425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Α.1 Αναλυτικά Προγράμματα σπουδών ανά θεματική ανά δομή ανά δομή</w:t>
            </w:r>
          </w:p>
        </w:tc>
        <w:tc>
          <w:tcPr>
            <w:tcW w:w="162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Προγράμματα</w:t>
            </w:r>
          </w:p>
        </w:tc>
        <w:tc>
          <w:tcPr>
            <w:tcW w:w="171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5</w:t>
            </w:r>
          </w:p>
        </w:tc>
        <w:tc>
          <w:tcPr>
            <w:tcW w:w="108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</w:tc>
      </w:tr>
      <w:tr w:rsidR="00C63E0C" w:rsidRPr="003D7670" w:rsidTr="00DB4931">
        <w:trPr>
          <w:trHeight w:val="132"/>
        </w:trPr>
        <w:tc>
          <w:tcPr>
            <w:tcW w:w="2425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 xml:space="preserve">Α.2 Εκπαιδευτικό υλικό (125 εκπαιδευόμενοι </w:t>
            </w:r>
            <w:r w:rsidRPr="003D7670">
              <w:rPr>
                <w:rFonts w:asciiTheme="minorHAnsi" w:hAnsiTheme="minorHAnsi" w:cstheme="minorHAnsi"/>
                <w:iCs/>
                <w:color w:val="000000"/>
                <w:lang w:val="en-US"/>
              </w:rPr>
              <w:t>x</w:t>
            </w:r>
            <w:r w:rsidRPr="003D7670">
              <w:rPr>
                <w:rFonts w:asciiTheme="minorHAnsi" w:hAnsiTheme="minorHAnsi" w:cstheme="minorHAnsi"/>
                <w:iCs/>
                <w:color w:val="000000"/>
              </w:rPr>
              <w:t xml:space="preserve"> 4 εξάμηνα)</w:t>
            </w:r>
          </w:p>
        </w:tc>
        <w:tc>
          <w:tcPr>
            <w:tcW w:w="162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 xml:space="preserve">Βιβλία (συμβατικό και </w:t>
            </w:r>
            <w:proofErr w:type="spellStart"/>
            <w:r w:rsidRPr="003D7670">
              <w:rPr>
                <w:rFonts w:asciiTheme="minorHAnsi" w:hAnsiTheme="minorHAnsi" w:cstheme="minorHAnsi"/>
                <w:iCs/>
                <w:color w:val="000000"/>
              </w:rPr>
              <w:t>διαδραστικό</w:t>
            </w:r>
            <w:proofErr w:type="spellEnd"/>
            <w:r w:rsidRPr="003D7670">
              <w:rPr>
                <w:rFonts w:asciiTheme="minorHAnsi" w:hAnsiTheme="minorHAnsi" w:cstheme="minorHAnsi"/>
                <w:iCs/>
                <w:color w:val="000000"/>
              </w:rPr>
              <w:t xml:space="preserve"> ψηφιακό βιβλίο)</w:t>
            </w:r>
          </w:p>
        </w:tc>
        <w:tc>
          <w:tcPr>
            <w:tcW w:w="171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500</w:t>
            </w:r>
          </w:p>
        </w:tc>
        <w:tc>
          <w:tcPr>
            <w:tcW w:w="108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35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  <w:lang w:val="en-US"/>
              </w:rPr>
            </w:pPr>
          </w:p>
        </w:tc>
        <w:tc>
          <w:tcPr>
            <w:tcW w:w="117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</w:p>
        </w:tc>
      </w:tr>
      <w:tr w:rsidR="00C63E0C" w:rsidRPr="003D7670" w:rsidTr="00DB4931">
        <w:trPr>
          <w:trHeight w:val="13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D7670">
              <w:rPr>
                <w:rFonts w:asciiTheme="minorHAnsi" w:hAnsiTheme="minorHAnsi" w:cstheme="minorHAnsi"/>
                <w:bCs/>
              </w:rPr>
              <w:t>Α. Ανάπτυξη εκπαιδευτικών οδηγών σύμφωνα με τη θεματική / πειραματική εξειδίκευση του ΙΕΚ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3E0C" w:rsidRPr="003D7670" w:rsidTr="00DB4931">
        <w:trPr>
          <w:trHeight w:val="132"/>
        </w:trPr>
        <w:tc>
          <w:tcPr>
            <w:tcW w:w="2425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Β.1 Εκπαίδευση εκπαιδευτών στα νέα προγράμματα σπουδών</w:t>
            </w:r>
          </w:p>
        </w:tc>
        <w:tc>
          <w:tcPr>
            <w:tcW w:w="162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ώρες</w:t>
            </w:r>
          </w:p>
        </w:tc>
        <w:tc>
          <w:tcPr>
            <w:tcW w:w="171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</w:rPr>
            </w:pPr>
            <w:r w:rsidRPr="003D7670">
              <w:rPr>
                <w:rFonts w:asciiTheme="minorHAnsi" w:hAnsiTheme="minorHAnsi" w:cstheme="minorHAnsi"/>
                <w:iCs/>
              </w:rPr>
              <w:t>3.600</w:t>
            </w:r>
          </w:p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</w:rPr>
              <w:t xml:space="preserve">(40 </w:t>
            </w:r>
            <w:r w:rsidRPr="003D7670">
              <w:rPr>
                <w:rFonts w:asciiTheme="minorHAnsi" w:hAnsiTheme="minorHAnsi" w:cstheme="minorHAnsi"/>
                <w:iCs/>
              </w:rPr>
              <w:t>εκπαιδευόμενοι</w:t>
            </w:r>
            <w:r w:rsidRPr="003D7670">
              <w:rPr>
                <w:rFonts w:asciiTheme="minorHAnsi" w:hAnsiTheme="minorHAnsi" w:cstheme="minorHAnsi"/>
              </w:rPr>
              <w:t xml:space="preserve">  </w:t>
            </w:r>
            <w:r w:rsidRPr="003D7670">
              <w:rPr>
                <w:rFonts w:asciiTheme="minorHAnsi" w:hAnsiTheme="minorHAnsi" w:cstheme="minorHAnsi"/>
                <w:lang w:val="en-US"/>
              </w:rPr>
              <w:t>x</w:t>
            </w:r>
            <w:r w:rsidRPr="003D7670">
              <w:rPr>
                <w:rFonts w:asciiTheme="minorHAnsi" w:hAnsiTheme="minorHAnsi" w:cstheme="minorHAnsi"/>
              </w:rPr>
              <w:t xml:space="preserve"> 90 ώρες)</w:t>
            </w:r>
          </w:p>
        </w:tc>
        <w:tc>
          <w:tcPr>
            <w:tcW w:w="108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</w:rPr>
            </w:pPr>
          </w:p>
        </w:tc>
      </w:tr>
      <w:tr w:rsidR="00C63E0C" w:rsidRPr="003D7670" w:rsidTr="00DB4931">
        <w:trPr>
          <w:trHeight w:val="132"/>
        </w:trPr>
        <w:tc>
          <w:tcPr>
            <w:tcW w:w="2425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iCs/>
                <w:color w:val="000000"/>
              </w:rPr>
            </w:pPr>
            <w:r w:rsidRPr="003D7670">
              <w:rPr>
                <w:rFonts w:asciiTheme="minorHAnsi" w:hAnsiTheme="minorHAnsi" w:cstheme="minorHAnsi"/>
                <w:iCs/>
                <w:color w:val="000000"/>
              </w:rPr>
              <w:t>Β.2 Επιμόρφωση εκπαιδευτών στο εξωτερικό</w:t>
            </w:r>
          </w:p>
        </w:tc>
        <w:tc>
          <w:tcPr>
            <w:tcW w:w="162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iCs/>
                <w:color w:val="000000"/>
              </w:rPr>
              <w:t>εκπαιδευόμενοι</w:t>
            </w:r>
          </w:p>
        </w:tc>
        <w:tc>
          <w:tcPr>
            <w:tcW w:w="171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iCs/>
                <w:color w:val="000000"/>
              </w:rPr>
              <w:t>40 χ 20 ώρες</w:t>
            </w:r>
          </w:p>
        </w:tc>
        <w:tc>
          <w:tcPr>
            <w:tcW w:w="108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vAlign w:val="center"/>
          </w:tcPr>
          <w:p w:rsidR="00C63E0C" w:rsidRPr="003D7670" w:rsidRDefault="00C63E0C" w:rsidP="00DB4931">
            <w:pPr>
              <w:jc w:val="center"/>
              <w:rPr>
                <w:iCs/>
                <w:color w:val="000000"/>
              </w:rPr>
            </w:pPr>
          </w:p>
        </w:tc>
      </w:tr>
      <w:tr w:rsidR="00C63E0C" w:rsidRPr="003D7670" w:rsidTr="00DB4931">
        <w:trPr>
          <w:trHeight w:val="132"/>
        </w:trPr>
        <w:tc>
          <w:tcPr>
            <w:tcW w:w="2425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3D7670">
              <w:rPr>
                <w:rFonts w:asciiTheme="minorHAnsi" w:hAnsiTheme="minorHAnsi" w:cstheme="minorHAnsi"/>
                <w:bCs/>
              </w:rPr>
              <w:t>Β. Κόστος εκπαίδευσης και κατάρτισης εκπαιδευτών στα νέα προγράμματα σπουδών για τα πειραματικά – θεματικά ΙΕΚ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F2F2F2" w:themeFill="background1" w:themeFillShade="F2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63E0C" w:rsidRPr="003D7670" w:rsidTr="00DB4931">
        <w:trPr>
          <w:trHeight w:val="417"/>
        </w:trPr>
        <w:tc>
          <w:tcPr>
            <w:tcW w:w="2425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3D7670">
              <w:rPr>
                <w:rFonts w:asciiTheme="minorHAnsi" w:hAnsiTheme="minorHAnsi" w:cstheme="minorHAnsi"/>
                <w:b/>
                <w:bCs/>
              </w:rPr>
              <w:t>Υποσύνολο Α+Β</w:t>
            </w:r>
          </w:p>
        </w:tc>
        <w:tc>
          <w:tcPr>
            <w:tcW w:w="1620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10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50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70" w:type="dxa"/>
            <w:shd w:val="clear" w:color="auto" w:fill="FFE599" w:themeFill="accent4" w:themeFillTint="66"/>
            <w:vAlign w:val="center"/>
          </w:tcPr>
          <w:p w:rsidR="00C63E0C" w:rsidRPr="003D7670" w:rsidRDefault="00C63E0C" w:rsidP="00DB493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C63E0C" w:rsidRPr="003D7670" w:rsidRDefault="00C63E0C" w:rsidP="00C63E0C">
      <w:pPr>
        <w:spacing w:line="288" w:lineRule="auto"/>
        <w:rPr>
          <w:rFonts w:ascii="Calibri" w:hAnsi="Calibri" w:cs="Calibri"/>
          <w:b/>
        </w:rPr>
      </w:pPr>
      <w:bookmarkStart w:id="3" w:name="_bookmark75"/>
      <w:bookmarkEnd w:id="3"/>
    </w:p>
    <w:p w:rsidR="00C63E0C" w:rsidRPr="00C63E0C" w:rsidRDefault="00C63E0C" w:rsidP="00C63E0C">
      <w:pPr>
        <w:rPr>
          <w:b/>
          <w:sz w:val="28"/>
          <w:szCs w:val="28"/>
          <w:lang w:val="en-US"/>
        </w:rPr>
      </w:pPr>
      <w:r w:rsidRPr="003D7670">
        <w:br w:type="page"/>
      </w:r>
    </w:p>
    <w:sectPr w:rsidR="00C63E0C" w:rsidRPr="00C63E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13CA9"/>
    <w:multiLevelType w:val="multilevel"/>
    <w:tmpl w:val="50C4042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1995" w:hanging="720"/>
      </w:pPr>
      <w:rPr>
        <w:specVanish w:val="0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3E0C"/>
    <w:rsid w:val="007B1A09"/>
    <w:rsid w:val="00C63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8438"/>
  <w15:chartTrackingRefBased/>
  <w15:docId w15:val="{564176BA-1BC9-4F90-A7F5-C6A8B1FB0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H1 Char,H1,Head1,Heading apps,h1,BMS Heading 1,H11,H12,H13,H14,H15,H16,H17,Outline1,Level 1 Topic Heading,Header1,Heading 1-ERI,l1,Head 1 (Chapter heading),Head 1,Head 11,Head 12,Head 111,Head 13,Head 112,Head 14,Head 113,Head 15,Head 114"/>
    <w:basedOn w:val="a"/>
    <w:next w:val="a"/>
    <w:link w:val="1Char"/>
    <w:uiPriority w:val="1"/>
    <w:qFormat/>
    <w:rsid w:val="00C63E0C"/>
    <w:pPr>
      <w:keepNext/>
      <w:keepLines/>
      <w:numPr>
        <w:numId w:val="1"/>
      </w:numPr>
      <w:spacing w:after="0" w:line="240" w:lineRule="auto"/>
      <w:jc w:val="both"/>
      <w:outlineLvl w:val="0"/>
    </w:pPr>
    <w:rPr>
      <w:rFonts w:ascii="Arial" w:eastAsia="Times New Roman" w:hAnsi="Arial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Char"/>
    <w:uiPriority w:val="1"/>
    <w:unhideWhenUsed/>
    <w:qFormat/>
    <w:rsid w:val="00C63E0C"/>
    <w:pPr>
      <w:keepNext/>
      <w:keepLines/>
      <w:numPr>
        <w:ilvl w:val="1"/>
        <w:numId w:val="1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bCs/>
      <w:color w:val="000000"/>
      <w:sz w:val="24"/>
      <w:szCs w:val="26"/>
    </w:rPr>
  </w:style>
  <w:style w:type="paragraph" w:styleId="3">
    <w:name w:val="heading 3"/>
    <w:basedOn w:val="a"/>
    <w:next w:val="a"/>
    <w:link w:val="3Char"/>
    <w:uiPriority w:val="1"/>
    <w:unhideWhenUsed/>
    <w:qFormat/>
    <w:rsid w:val="00C63E0C"/>
    <w:pPr>
      <w:keepNext/>
      <w:keepLines/>
      <w:numPr>
        <w:ilvl w:val="2"/>
        <w:numId w:val="1"/>
      </w:numPr>
      <w:spacing w:after="0" w:line="240" w:lineRule="auto"/>
      <w:ind w:left="0" w:firstLine="0"/>
      <w:outlineLvl w:val="2"/>
    </w:pPr>
    <w:rPr>
      <w:rFonts w:ascii="Arial" w:eastAsia="Times New Roman" w:hAnsi="Arial" w:cs="Times New Roman"/>
      <w:b/>
      <w:bCs/>
    </w:rPr>
  </w:style>
  <w:style w:type="paragraph" w:styleId="4">
    <w:name w:val="heading 4"/>
    <w:basedOn w:val="a"/>
    <w:next w:val="a"/>
    <w:link w:val="4Char"/>
    <w:uiPriority w:val="1"/>
    <w:unhideWhenUsed/>
    <w:qFormat/>
    <w:rsid w:val="00C63E0C"/>
    <w:pPr>
      <w:keepNext/>
      <w:keepLines/>
      <w:numPr>
        <w:ilvl w:val="3"/>
        <w:numId w:val="1"/>
      </w:numPr>
      <w:spacing w:before="200" w:after="0" w:line="240" w:lineRule="auto"/>
      <w:jc w:val="both"/>
      <w:outlineLvl w:val="3"/>
    </w:pPr>
    <w:rPr>
      <w:rFonts w:ascii="Arial" w:eastAsia="Times New Roman" w:hAnsi="Arial" w:cs="Times New Roman"/>
      <w:b/>
      <w:bCs/>
      <w:iCs/>
    </w:rPr>
  </w:style>
  <w:style w:type="paragraph" w:styleId="5">
    <w:name w:val="heading 5"/>
    <w:basedOn w:val="a"/>
    <w:next w:val="a"/>
    <w:link w:val="5Char"/>
    <w:uiPriority w:val="1"/>
    <w:unhideWhenUsed/>
    <w:qFormat/>
    <w:rsid w:val="00C63E0C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Char"/>
    <w:uiPriority w:val="9"/>
    <w:unhideWhenUsed/>
    <w:qFormat/>
    <w:rsid w:val="00C63E0C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7">
    <w:name w:val="heading 7"/>
    <w:basedOn w:val="a"/>
    <w:next w:val="a"/>
    <w:link w:val="7Char"/>
    <w:uiPriority w:val="9"/>
    <w:unhideWhenUsed/>
    <w:qFormat/>
    <w:rsid w:val="00C63E0C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63E0C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63E0C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aliases w:val="H1 Char Char,H1 Char1,Head1 Char,Heading apps Char,h1 Char,BMS Heading 1 Char,H11 Char,H12 Char,H13 Char,H14 Char,H15 Char,H16 Char,H17 Char,Outline1 Char,Level 1 Topic Heading Char,Header1 Char,Heading 1-ERI Char,l1 Char,Head 1 Char"/>
    <w:basedOn w:val="a0"/>
    <w:link w:val="1"/>
    <w:uiPriority w:val="1"/>
    <w:rsid w:val="00C63E0C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2Char">
    <w:name w:val="Επικεφαλίδα 2 Char"/>
    <w:basedOn w:val="a0"/>
    <w:link w:val="2"/>
    <w:uiPriority w:val="1"/>
    <w:rsid w:val="00C63E0C"/>
    <w:rPr>
      <w:rFonts w:ascii="Arial" w:eastAsia="Times New Roman" w:hAnsi="Arial" w:cs="Times New Roman"/>
      <w:b/>
      <w:bCs/>
      <w:color w:val="000000"/>
      <w:sz w:val="24"/>
      <w:szCs w:val="26"/>
    </w:rPr>
  </w:style>
  <w:style w:type="character" w:customStyle="1" w:styleId="3Char">
    <w:name w:val="Επικεφαλίδα 3 Char"/>
    <w:basedOn w:val="a0"/>
    <w:link w:val="3"/>
    <w:uiPriority w:val="1"/>
    <w:rsid w:val="00C63E0C"/>
    <w:rPr>
      <w:rFonts w:ascii="Arial" w:eastAsia="Times New Roman" w:hAnsi="Arial" w:cs="Times New Roman"/>
      <w:b/>
      <w:bCs/>
    </w:rPr>
  </w:style>
  <w:style w:type="character" w:customStyle="1" w:styleId="4Char">
    <w:name w:val="Επικεφαλίδα 4 Char"/>
    <w:basedOn w:val="a0"/>
    <w:link w:val="4"/>
    <w:uiPriority w:val="1"/>
    <w:rsid w:val="00C63E0C"/>
    <w:rPr>
      <w:rFonts w:ascii="Arial" w:eastAsia="Times New Roman" w:hAnsi="Arial" w:cs="Times New Roman"/>
      <w:b/>
      <w:bCs/>
      <w:iCs/>
    </w:rPr>
  </w:style>
  <w:style w:type="character" w:customStyle="1" w:styleId="5Char">
    <w:name w:val="Επικεφαλίδα 5 Char"/>
    <w:basedOn w:val="a0"/>
    <w:link w:val="5"/>
    <w:uiPriority w:val="1"/>
    <w:rsid w:val="00C63E0C"/>
    <w:rPr>
      <w:rFonts w:ascii="Cambria" w:eastAsia="Times New Roman" w:hAnsi="Cambria" w:cs="Times New Roman"/>
      <w:color w:val="243F60"/>
    </w:rPr>
  </w:style>
  <w:style w:type="character" w:customStyle="1" w:styleId="6Char">
    <w:name w:val="Επικεφαλίδα 6 Char"/>
    <w:basedOn w:val="a0"/>
    <w:link w:val="6"/>
    <w:uiPriority w:val="9"/>
    <w:rsid w:val="00C63E0C"/>
    <w:rPr>
      <w:rFonts w:ascii="Cambria" w:eastAsia="Times New Roman" w:hAnsi="Cambria" w:cs="Times New Roman"/>
      <w:i/>
      <w:iCs/>
      <w:color w:val="243F60"/>
    </w:rPr>
  </w:style>
  <w:style w:type="character" w:customStyle="1" w:styleId="7Char">
    <w:name w:val="Επικεφαλίδα 7 Char"/>
    <w:basedOn w:val="a0"/>
    <w:link w:val="7"/>
    <w:uiPriority w:val="9"/>
    <w:rsid w:val="00C63E0C"/>
    <w:rPr>
      <w:rFonts w:ascii="Cambria" w:eastAsia="Times New Roman" w:hAnsi="Cambria" w:cs="Times New Roman"/>
      <w:i/>
      <w:iCs/>
      <w:color w:val="404040"/>
    </w:rPr>
  </w:style>
  <w:style w:type="character" w:customStyle="1" w:styleId="8Char">
    <w:name w:val="Επικεφαλίδα 8 Char"/>
    <w:basedOn w:val="a0"/>
    <w:link w:val="8"/>
    <w:uiPriority w:val="9"/>
    <w:semiHidden/>
    <w:rsid w:val="00C63E0C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Char">
    <w:name w:val="Επικεφαλίδα 9 Char"/>
    <w:basedOn w:val="a0"/>
    <w:link w:val="9"/>
    <w:uiPriority w:val="9"/>
    <w:semiHidden/>
    <w:rsid w:val="00C63E0C"/>
    <w:rPr>
      <w:rFonts w:ascii="Cambria" w:eastAsia="Times New Roman" w:hAnsi="Cambria" w:cs="Times New Roman"/>
      <w:i/>
      <w:iCs/>
      <w:color w:val="404040"/>
      <w:sz w:val="20"/>
      <w:szCs w:val="20"/>
    </w:rPr>
  </w:style>
  <w:style w:type="table" w:styleId="a3">
    <w:name w:val="Table Grid"/>
    <w:basedOn w:val="a1"/>
    <w:uiPriority w:val="39"/>
    <w:rsid w:val="00C63E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934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ΠΑΡΑΡΤΗΜΑ V – Υπόδειγμα Οικονομικής Προσφοράς</vt:lpstr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2022-07-13T12:34:00Z</dcterms:created>
  <dcterms:modified xsi:type="dcterms:W3CDTF">2022-07-13T12:34:00Z</dcterms:modified>
</cp:coreProperties>
</file>