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F1" w:rsidRPr="002E737D" w:rsidRDefault="006816F1" w:rsidP="006816F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r w:rsidRPr="002E737D">
        <w:rPr>
          <w:rFonts w:ascii="Calibri" w:hAnsi="Calibri" w:cs="Calibri"/>
          <w:lang w:val="el-GR"/>
        </w:rPr>
        <w:t>ΠΑΡΑΡΤΗΜΑ ΙΙI – Οικονομική Προσφορά</w:t>
      </w:r>
    </w:p>
    <w:p w:rsidR="006816F1" w:rsidRPr="002E737D" w:rsidRDefault="006816F1" w:rsidP="006816F1">
      <w:pPr>
        <w:pStyle w:val="normalwithoutspacing"/>
      </w:pPr>
      <w:r w:rsidRPr="002E737D">
        <w:rPr>
          <w:rFonts w:cs="Arial"/>
          <w:b/>
          <w:color w:val="002060"/>
          <w:szCs w:val="22"/>
        </w:rPr>
        <w:t>ΜΕΡΟΣ Α΄ – Πίνακας Οικονομικής Προσφοράς</w:t>
      </w:r>
    </w:p>
    <w:p w:rsidR="006816F1" w:rsidRPr="002E737D" w:rsidRDefault="006816F1" w:rsidP="006816F1">
      <w:pPr>
        <w:pStyle w:val="normalwithoutspacing"/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  <w:r w:rsidRPr="002E737D">
        <w:rPr>
          <w:b/>
          <w:color w:val="002060"/>
          <w:szCs w:val="22"/>
          <w:u w:val="single"/>
        </w:rPr>
        <w:t>ΠΙΝΑΚΑΣ Α΄</w:t>
      </w: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spacing w:after="60"/>
        <w:jc w:val="center"/>
        <w:rPr>
          <w:b/>
          <w:color w:val="002060"/>
          <w:szCs w:val="22"/>
          <w:u w:val="single"/>
          <w:lang w:val="el-G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707"/>
        <w:gridCol w:w="1630"/>
        <w:gridCol w:w="2013"/>
        <w:gridCol w:w="1632"/>
        <w:gridCol w:w="1436"/>
        <w:gridCol w:w="1456"/>
      </w:tblGrid>
      <w:tr w:rsidR="006816F1" w:rsidRPr="002E737D" w:rsidTr="005713C0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ΠΕΡΙΓΡΑΦΗ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ΔΙΚΛΙΝΟΥ ΔΩΜΑΤΙΟΥ ΧΩΡΙΣ Φ.Π.Α. (Α)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ΑΡΙΘΜΟΣ ΠΡΟΣΦΕΡΟΜΕΝΩΝ ΔΩΜΑΤΙΩΝ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(Β)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ΗΜΕΡΕΣ ΜΙΣΘΩΣΗΣ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(Γ)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ΧΩΡΙΣ Φ.Π.Α.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(Α) Χ (Β) Χ (Γ)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ΜΕ Φ.Π.Α.</w:t>
            </w:r>
          </w:p>
        </w:tc>
      </w:tr>
      <w:tr w:rsidR="006816F1" w:rsidRPr="002E737D" w:rsidTr="005713C0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Παροχή 45 δίκλινων δωματίων σύμφωνα με τις απαιτήσεις των Παραρτημάτων Ι και ΙΙ της παρούσης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n-US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n-US"/>
              </w:rPr>
              <w:t>45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43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Ημερολογιακές Ημέρες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(28.08.2022 – 09.</w:t>
            </w:r>
            <w:r w:rsidRPr="002E737D">
              <w:rPr>
                <w:rFonts w:eastAsia="Calibri" w:cs="Arial"/>
                <w:b/>
                <w:color w:val="002060"/>
                <w:szCs w:val="22"/>
                <w:lang w:val="en-US"/>
              </w:rPr>
              <w:t>10</w:t>
            </w: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.2022)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24%</w:t>
            </w:r>
          </w:p>
        </w:tc>
      </w:tr>
    </w:tbl>
    <w:p w:rsidR="006816F1" w:rsidRPr="002E737D" w:rsidRDefault="006816F1" w:rsidP="006816F1">
      <w:pPr>
        <w:spacing w:after="60"/>
        <w:rPr>
          <w:rFonts w:cs="Arial"/>
          <w:b/>
          <w:color w:val="002060"/>
          <w:szCs w:val="22"/>
          <w:lang w:val="el-GR"/>
        </w:rPr>
      </w:pPr>
    </w:p>
    <w:p w:rsidR="006816F1" w:rsidRPr="002E737D" w:rsidRDefault="006816F1" w:rsidP="006816F1">
      <w:pPr>
        <w:spacing w:after="60"/>
        <w:rPr>
          <w:rFonts w:cs="Arial"/>
          <w:b/>
          <w:color w:val="002060"/>
          <w:szCs w:val="22"/>
          <w:lang w:val="el-GR"/>
        </w:rPr>
      </w:pPr>
    </w:p>
    <w:p w:rsidR="006816F1" w:rsidRPr="002E737D" w:rsidRDefault="006816F1" w:rsidP="006816F1">
      <w:pPr>
        <w:spacing w:after="60"/>
        <w:rPr>
          <w:b/>
          <w:color w:val="002060"/>
          <w:szCs w:val="22"/>
          <w:u w:val="single"/>
          <w:lang w:val="el-GR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spacing w:after="60"/>
        <w:rPr>
          <w:b/>
          <w:color w:val="002060"/>
          <w:szCs w:val="22"/>
          <w:u w:val="single"/>
          <w:lang w:val="el-GR"/>
        </w:rPr>
      </w:pPr>
    </w:p>
    <w:p w:rsidR="006816F1" w:rsidRPr="002E737D" w:rsidRDefault="006816F1" w:rsidP="006816F1">
      <w:pPr>
        <w:spacing w:after="60"/>
        <w:jc w:val="center"/>
        <w:rPr>
          <w:b/>
          <w:color w:val="002060"/>
          <w:szCs w:val="22"/>
          <w:u w:val="single"/>
          <w:lang w:val="el-GR"/>
        </w:rPr>
      </w:pPr>
      <w:r w:rsidRPr="002E737D">
        <w:rPr>
          <w:b/>
          <w:color w:val="002060"/>
          <w:szCs w:val="22"/>
          <w:u w:val="single"/>
          <w:lang w:val="el-GR"/>
        </w:rPr>
        <w:t>ΠΙΝΑΚΑΣ Β΄</w:t>
      </w:r>
    </w:p>
    <w:p w:rsidR="006816F1" w:rsidRPr="002E737D" w:rsidRDefault="006816F1" w:rsidP="006816F1">
      <w:pPr>
        <w:spacing w:after="60"/>
        <w:rPr>
          <w:rFonts w:cs="Arial"/>
          <w:b/>
          <w:color w:val="002060"/>
          <w:szCs w:val="22"/>
          <w:lang w:val="el-G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0"/>
        <w:gridCol w:w="1742"/>
        <w:gridCol w:w="1903"/>
        <w:gridCol w:w="1454"/>
        <w:gridCol w:w="1474"/>
      </w:tblGrid>
      <w:tr w:rsidR="006816F1" w:rsidRPr="002E737D" w:rsidTr="005713C0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ΠΕΡΙΓΡΑΦΗ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ΑΡΙΘΜΟΣ ΠΡΟΣΦΕΡΟΜΕΝΩΝ ΔΩΜΑΤΙΩΝ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(Α)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ΗΜΕΡΕΣ ΜΙΣΘΩΣΗΣ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(Β)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ΑΝΑ ΔΩΜΑΤΙΟ ΑΝΑ ΗΜΕΡΑ ΕΩΣ 1,50 €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(Γ)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 xml:space="preserve">ΣΥΝΟΛΙΚΗ ΤΙΜΗ 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(Α) Χ (Β) Χ (Γ)</w:t>
            </w:r>
          </w:p>
        </w:tc>
      </w:tr>
      <w:tr w:rsidR="006816F1" w:rsidRPr="002E737D" w:rsidTr="005713C0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Φόρος διαμονής  σύμφωνα με το άρθρο 53 του ν. 4389/2016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45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n-US"/>
              </w:rPr>
              <w:t>43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Ημερολογιακές Ημέρες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1,50€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2.902,50€</w:t>
            </w:r>
          </w:p>
        </w:tc>
      </w:tr>
    </w:tbl>
    <w:p w:rsidR="006816F1" w:rsidRPr="002E737D" w:rsidRDefault="006816F1" w:rsidP="006816F1">
      <w:pPr>
        <w:spacing w:after="60"/>
        <w:rPr>
          <w:rFonts w:cs="Arial"/>
          <w:b/>
          <w:color w:val="002060"/>
          <w:szCs w:val="22"/>
          <w:lang w:val="el-GR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spacing w:after="60"/>
        <w:jc w:val="center"/>
        <w:rPr>
          <w:b/>
          <w:color w:val="002060"/>
          <w:szCs w:val="22"/>
          <w:u w:val="single"/>
          <w:lang w:val="el-GR"/>
        </w:rPr>
      </w:pPr>
      <w:r w:rsidRPr="002E737D">
        <w:rPr>
          <w:b/>
          <w:color w:val="002060"/>
          <w:szCs w:val="22"/>
          <w:u w:val="single"/>
          <w:lang w:val="el-GR"/>
        </w:rPr>
        <w:t>ΠΙΝΑΚΑΣ Γ΄</w:t>
      </w:r>
    </w:p>
    <w:p w:rsidR="006816F1" w:rsidRPr="002E737D" w:rsidRDefault="006816F1" w:rsidP="006816F1">
      <w:pPr>
        <w:spacing w:after="60"/>
        <w:jc w:val="center"/>
        <w:rPr>
          <w:rFonts w:cs="Arial"/>
          <w:b/>
          <w:color w:val="002060"/>
          <w:szCs w:val="22"/>
          <w:lang w:val="el-GR"/>
        </w:rPr>
      </w:pPr>
      <w:r w:rsidRPr="002E737D">
        <w:rPr>
          <w:b/>
          <w:color w:val="002060"/>
          <w:szCs w:val="22"/>
          <w:u w:val="single"/>
          <w:lang w:val="el-GR"/>
        </w:rPr>
        <w:t>Προϋπολογισμός : €</w:t>
      </w:r>
    </w:p>
    <w:p w:rsidR="006816F1" w:rsidRPr="002E737D" w:rsidRDefault="006816F1" w:rsidP="006816F1">
      <w:pPr>
        <w:spacing w:after="60"/>
        <w:jc w:val="center"/>
        <w:rPr>
          <w:b/>
          <w:color w:val="002060"/>
          <w:szCs w:val="22"/>
          <w:u w:val="single"/>
          <w:lang w:val="el-G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707"/>
        <w:gridCol w:w="1630"/>
        <w:gridCol w:w="2013"/>
        <w:gridCol w:w="1632"/>
        <w:gridCol w:w="1436"/>
        <w:gridCol w:w="1456"/>
      </w:tblGrid>
      <w:tr w:rsidR="006816F1" w:rsidRPr="002E737D" w:rsidTr="005713C0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ΠΕΡΙΓΡΑΦΗ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ΔΙΚΛΙΝΟΥ ΔΩΜΑΤΙΟΥ ΧΩΡΙΣ Φ.Π.Α. (Α)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ΑΡΙΘΜΟΣ ΠΡΟΣΦΕΡΟΜΕΝΩΝ ΔΩΜΑΤΙΩΝ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(Β)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ΗΜΕΡΕΣ ΜΙΣΘΩΣΗΣ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(Γ)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ΧΩΡΙΣ Φ.Π.Α.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(Α) Χ (Β) Χ (Γ)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ΜΕ Φ.Π.Α.</w:t>
            </w:r>
          </w:p>
        </w:tc>
      </w:tr>
      <w:tr w:rsidR="006816F1" w:rsidRPr="002E737D" w:rsidTr="005713C0">
        <w:trPr>
          <w:trHeight w:val="1800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Παροχή 70 δίκλινων δωματίων σύμφωνα με τις απαιτήσεις των Παραρτημάτων Ι και ΙΙ της παρούσης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 xml:space="preserve">45 + 25 = 70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 xml:space="preserve">                236</w:t>
            </w:r>
          </w:p>
          <w:p w:rsidR="006816F1" w:rsidRPr="002E737D" w:rsidRDefault="006816F1" w:rsidP="005713C0">
            <w:pPr>
              <w:spacing w:after="60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Ημερολογιακές Ημέρες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(10.10.2023 – 30.06.2023)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24%</w:t>
            </w:r>
          </w:p>
        </w:tc>
      </w:tr>
      <w:tr w:rsidR="006816F1" w:rsidRPr="002E737D" w:rsidTr="005713C0">
        <w:trPr>
          <w:trHeight w:val="40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ΣΥΝΟΛΟ 70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</w:tr>
    </w:tbl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  <w:r w:rsidRPr="002E737D">
        <w:rPr>
          <w:b/>
          <w:color w:val="002060"/>
          <w:szCs w:val="22"/>
          <w:u w:val="single"/>
        </w:rPr>
        <w:t>ΠΙΝΑΚΑΣ Δ΄</w:t>
      </w:r>
    </w:p>
    <w:p w:rsidR="006816F1" w:rsidRPr="002E737D" w:rsidRDefault="006816F1" w:rsidP="006816F1">
      <w:pPr>
        <w:pStyle w:val="normalwithoutspacing"/>
        <w:jc w:val="center"/>
        <w:rPr>
          <w:rFonts w:cs="Arial"/>
          <w:b/>
          <w:color w:val="002060"/>
          <w:szCs w:val="22"/>
        </w:rPr>
      </w:pPr>
      <w:r w:rsidRPr="002E737D">
        <w:rPr>
          <w:b/>
          <w:color w:val="002060"/>
          <w:szCs w:val="22"/>
          <w:u w:val="single"/>
        </w:rPr>
        <w:t xml:space="preserve">Προϋπολογισμός : </w:t>
      </w: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spacing w:after="60"/>
        <w:rPr>
          <w:rFonts w:cs="Arial"/>
          <w:b/>
          <w:color w:val="002060"/>
          <w:szCs w:val="22"/>
          <w:lang w:val="el-G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0"/>
        <w:gridCol w:w="2013"/>
        <w:gridCol w:w="1632"/>
        <w:gridCol w:w="1454"/>
        <w:gridCol w:w="1474"/>
      </w:tblGrid>
      <w:tr w:rsidR="006816F1" w:rsidRPr="002E737D" w:rsidTr="005713C0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ΠΕΡΙΓΡΑΦΗ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ΑΡΙΘΜΟΣ ΠΡΟΣΦΕΡΟΜΕΝΩΝ ΔΩΜΑΤΙΩΝ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(Α)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ΗΜΕΡΕΣ ΜΙΣΘΩΣΗΣ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(Β)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ΤΙΜΗ ΑΝΑ ΔΩΜΑΤΙΟ ΕΩΣ 1,50</w:t>
            </w:r>
            <w:r w:rsidRPr="002E737D">
              <w:rPr>
                <w:rFonts w:eastAsia="Calibri" w:cs="Arial"/>
                <w:b/>
                <w:color w:val="002060"/>
                <w:szCs w:val="22"/>
                <w:vertAlign w:val="superscript"/>
                <w:lang w:val="el-GR"/>
              </w:rPr>
              <w:t xml:space="preserve"> </w:t>
            </w: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 xml:space="preserve">€ ΑΝΑ ΗΜΕΡΑ 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(Γ)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 xml:space="preserve">ΣΥΝΟΛΙΚΗ ΤΙΜΗ 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(Α) Χ (Β) Χ (Γ)</w:t>
            </w:r>
          </w:p>
        </w:tc>
      </w:tr>
      <w:tr w:rsidR="006816F1" w:rsidRPr="002E737D" w:rsidTr="005713C0">
        <w:trPr>
          <w:trHeight w:val="102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Φόρος διαμονής  σύμφωνα με το άρθρο 53 του ν. 4389/2016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45 + 25 = 70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236</w:t>
            </w:r>
          </w:p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Ημερολογιακές Ημέρες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1,50€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24.780,00€</w:t>
            </w:r>
          </w:p>
        </w:tc>
      </w:tr>
      <w:tr w:rsidR="006816F1" w:rsidRPr="002E737D" w:rsidTr="005713C0">
        <w:trPr>
          <w:trHeight w:val="375"/>
        </w:trPr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  <w:r w:rsidRPr="002E737D">
              <w:rPr>
                <w:rFonts w:eastAsia="Calibri" w:cs="Arial"/>
                <w:b/>
                <w:color w:val="002060"/>
                <w:szCs w:val="22"/>
                <w:lang w:val="el-GR"/>
              </w:rPr>
              <w:t>ΣΥΝΟΛΟ 70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F1" w:rsidRPr="002E737D" w:rsidRDefault="006816F1" w:rsidP="005713C0">
            <w:pPr>
              <w:snapToGrid w:val="0"/>
              <w:spacing w:after="60"/>
              <w:jc w:val="center"/>
              <w:rPr>
                <w:rFonts w:eastAsia="Calibri" w:cs="Arial"/>
                <w:b/>
                <w:color w:val="002060"/>
                <w:szCs w:val="22"/>
                <w:lang w:val="el-GR"/>
              </w:rPr>
            </w:pPr>
          </w:p>
        </w:tc>
      </w:tr>
    </w:tbl>
    <w:p w:rsidR="006816F1" w:rsidRPr="002E737D" w:rsidRDefault="006816F1" w:rsidP="006816F1">
      <w:pPr>
        <w:spacing w:after="60"/>
        <w:rPr>
          <w:rFonts w:cs="Arial"/>
          <w:b/>
          <w:color w:val="002060"/>
          <w:szCs w:val="22"/>
          <w:lang w:val="el-GR"/>
        </w:rPr>
      </w:pPr>
    </w:p>
    <w:p w:rsidR="006816F1" w:rsidRPr="002E737D" w:rsidRDefault="006816F1" w:rsidP="006816F1">
      <w:pPr>
        <w:spacing w:after="60"/>
        <w:rPr>
          <w:rFonts w:cs="Arial"/>
          <w:b/>
          <w:color w:val="002060"/>
          <w:szCs w:val="22"/>
          <w:lang w:val="el-GR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  <w:r w:rsidRPr="002E737D">
        <w:rPr>
          <w:b/>
          <w:color w:val="002060"/>
          <w:szCs w:val="22"/>
          <w:u w:val="single"/>
        </w:rPr>
        <w:t>ΠΙΝΑΚΑΣ Ζ΄</w:t>
      </w:r>
    </w:p>
    <w:p w:rsidR="006816F1" w:rsidRPr="002E737D" w:rsidRDefault="006816F1" w:rsidP="006816F1">
      <w:pPr>
        <w:pStyle w:val="normalwithoutspacing"/>
        <w:jc w:val="center"/>
        <w:rPr>
          <w:b/>
          <w:color w:val="002060"/>
          <w:szCs w:val="22"/>
          <w:u w:val="single"/>
        </w:rPr>
      </w:pPr>
    </w:p>
    <w:p w:rsidR="006816F1" w:rsidRPr="002E737D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  <w:r w:rsidRPr="002E737D">
        <w:rPr>
          <w:rFonts w:cs="Arial"/>
          <w:b/>
          <w:color w:val="002060"/>
          <w:szCs w:val="22"/>
        </w:rPr>
        <w:t xml:space="preserve">ΣΗΜΕΙΩΣΗ : Η τιμή των Πινάκων Β΄, Δ΄ .΄  δεν υπολογίζεται ως στοιχείο κατακύρωσης παρά μόνο ως αποτύπωση στο συνολικό συμβατικό τίμημα. </w:t>
      </w:r>
    </w:p>
    <w:p w:rsidR="006816F1" w:rsidRPr="00392964" w:rsidRDefault="006816F1" w:rsidP="006816F1">
      <w:pPr>
        <w:pStyle w:val="normalwithoutspacing"/>
        <w:rPr>
          <w:rFonts w:cs="Arial"/>
          <w:b/>
          <w:color w:val="002060"/>
          <w:szCs w:val="22"/>
        </w:rPr>
      </w:pPr>
      <w:r w:rsidRPr="002E737D">
        <w:rPr>
          <w:rFonts w:cs="Arial"/>
          <w:b/>
          <w:color w:val="002060"/>
          <w:szCs w:val="22"/>
        </w:rPr>
        <w:t xml:space="preserve">Ως κριτήριο κατακύρωσης για την ανάδειξη της </w:t>
      </w:r>
      <w:proofErr w:type="spellStart"/>
      <w:r w:rsidRPr="002E737D">
        <w:rPr>
          <w:rFonts w:cs="Arial"/>
          <w:b/>
          <w:color w:val="002060"/>
          <w:szCs w:val="22"/>
        </w:rPr>
        <w:t>συμφερότερης</w:t>
      </w:r>
      <w:proofErr w:type="spellEnd"/>
      <w:r w:rsidRPr="002E737D">
        <w:rPr>
          <w:rFonts w:cs="Arial"/>
          <w:b/>
          <w:color w:val="002060"/>
          <w:szCs w:val="22"/>
        </w:rPr>
        <w:t xml:space="preserve"> οικονομικής προσφοράς βάσει τιμής υπολογίζεται η προσφερόμενη τιμή χωρίς Φ.Π.Α. ανά δωμάτιο των Πινάκων Α΄, Γ΄</w:t>
      </w:r>
      <w:bookmarkStart w:id="0" w:name="__RefHeading___Toc46230910"/>
      <w:bookmarkEnd w:id="0"/>
    </w:p>
    <w:p w:rsidR="006816F1" w:rsidRPr="002E737D" w:rsidRDefault="006816F1" w:rsidP="006816F1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</w:p>
    <w:p w:rsidR="00F85F40" w:rsidRPr="006816F1" w:rsidRDefault="00F85F40">
      <w:pPr>
        <w:rPr>
          <w:lang w:val="el-GR"/>
        </w:rPr>
      </w:pPr>
      <w:bookmarkStart w:id="1" w:name="_GoBack"/>
      <w:bookmarkEnd w:id="1"/>
    </w:p>
    <w:sectPr w:rsidR="00F85F40" w:rsidRPr="00681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1"/>
    <w:rsid w:val="006816F1"/>
    <w:rsid w:val="00F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21A-1994-46EC-BD0A-0AA448E4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F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81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816F1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816F1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6816F1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6816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ΠΑΡΑΡΤΗΜΑ ΙΙI – Οικονομική Προσφορά</vt:lpstr>
      <vt:lpstr>    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2022-06-17T11:23:00Z</dcterms:created>
  <dcterms:modified xsi:type="dcterms:W3CDTF">2022-06-17T11:23:00Z</dcterms:modified>
</cp:coreProperties>
</file>