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D" w:rsidRPr="0028319D" w:rsidRDefault="0028319D" w:rsidP="0028319D">
      <w:pPr>
        <w:rPr>
          <w:b/>
          <w:u w:val="single"/>
        </w:rPr>
      </w:pPr>
      <w:r w:rsidRPr="0028319D">
        <w:rPr>
          <w:b/>
          <w:u w:val="single"/>
        </w:rPr>
        <w:t xml:space="preserve">ΠΑΡΑΡΤΗΜΑ ΙΙI  Οικονομική Προσφορά </w:t>
      </w:r>
    </w:p>
    <w:p w:rsidR="0028319D" w:rsidRPr="0028319D" w:rsidRDefault="0028319D" w:rsidP="0028319D">
      <w:pPr>
        <w:rPr>
          <w:i/>
          <w:u w:val="single"/>
        </w:rPr>
      </w:pPr>
      <w:r w:rsidRPr="0028319D">
        <w:rPr>
          <w:b/>
          <w:u w:val="single"/>
        </w:rPr>
        <w:t>ΜΕΡΟΣ Α΄ – Πίνακας Οικονομικής Προσφοράς</w:t>
      </w:r>
      <w:r w:rsidRPr="0028319D">
        <w:rPr>
          <w:i/>
          <w:u w:val="single"/>
        </w:rPr>
        <w:t xml:space="preserve">  </w:t>
      </w:r>
    </w:p>
    <w:p w:rsidR="0028319D" w:rsidRPr="0028319D" w:rsidRDefault="0028319D" w:rsidP="0028319D">
      <w:pPr>
        <w:rPr>
          <w:b/>
          <w:u w:val="single"/>
        </w:rPr>
      </w:pPr>
      <w:r w:rsidRPr="0028319D">
        <w:rPr>
          <w:b/>
          <w:u w:val="single"/>
        </w:rPr>
        <w:t>ΠΙΝΑΚΑΣ Α</w:t>
      </w:r>
    </w:p>
    <w:p w:rsidR="0028319D" w:rsidRPr="0028319D" w:rsidRDefault="0028319D" w:rsidP="0028319D">
      <w:r w:rsidRPr="0028319D">
        <w:t xml:space="preserve">Στοιχεία άρθρου 68 του Ν.3863/2010 για 36μηνη σύμβαση (εντός του </w:t>
      </w:r>
      <w:proofErr w:type="spellStart"/>
      <w:r w:rsidRPr="0028319D">
        <w:t>υποφακέλου</w:t>
      </w:r>
      <w:proofErr w:type="spellEnd"/>
      <w:r w:rsidRPr="0028319D">
        <w:t xml:space="preserve"> της οικονομικής προσφοράς) για το σύνολο των εγκαταστάσεων </w:t>
      </w:r>
    </w:p>
    <w:tbl>
      <w:tblPr>
        <w:tblW w:w="10024" w:type="dxa"/>
        <w:tblInd w:w="-106" w:type="dxa"/>
        <w:tblCellMar>
          <w:top w:w="44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935"/>
        <w:gridCol w:w="2410"/>
        <w:gridCol w:w="1118"/>
        <w:gridCol w:w="2561"/>
      </w:tblGrid>
      <w:tr w:rsidR="0028319D" w:rsidRPr="0028319D" w:rsidTr="0028319D">
        <w:trPr>
          <w:trHeight w:val="478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1) Αριθμός των εργαζομένων: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480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2) Ημέρες και ώρες εργασίας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66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3) Συλλογική σύμβαση εργασίας στην οποία υπάγονται οι εργαζόμενοι (ΕΠΙΣΥΝΑΠΤΕΤΑΙ αντίγραφό της στο τέλος):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478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ΕΠΙΜΕΡΙΣΜΟΣ ΣΥΝΟΛΙΚΗΣ ΔΑΠΑΝΗΣ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/>
        </w:tc>
      </w:tr>
      <w:tr w:rsidR="0028319D" w:rsidRPr="0028319D" w:rsidTr="0028319D">
        <w:trPr>
          <w:trHeight w:val="47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ΑΡΙΘΜΗΤΙΚΩΣ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/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ΟΛΟΓΡΑΦΩΣ </w:t>
            </w:r>
          </w:p>
        </w:tc>
      </w:tr>
      <w:tr w:rsidR="0028319D" w:rsidRPr="0028319D" w:rsidTr="0028319D">
        <w:trPr>
          <w:trHeight w:val="86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1.1 Ύψος του προϋπολογισμένου ποσού (Συνολικά)</w:t>
            </w:r>
            <w:r w:rsidRPr="0028319D">
              <w:rPr>
                <w:b/>
              </w:rPr>
              <w:t xml:space="preserve"> </w:t>
            </w:r>
            <w:r w:rsidRPr="0028319D">
              <w:t xml:space="preserve">που αφορά τις πάσης φύσεως νόμιμες μικτές αποδοχές των εργαζομένων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86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1.2 Ύψος των ασφαλιστικών εργοδοτικών εισφορών (Συνολικά) με βάση τα </w:t>
            </w:r>
          </w:p>
          <w:p w:rsidR="0028319D" w:rsidRPr="0028319D" w:rsidRDefault="0028319D" w:rsidP="0028319D">
            <w:r w:rsidRPr="0028319D">
              <w:t xml:space="preserve">προϋπολογισθέντα ποσά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 1.3 </w:t>
            </w:r>
            <w:r w:rsidRPr="0028319D">
              <w:tab/>
              <w:t xml:space="preserve">Διοικητικό </w:t>
            </w:r>
            <w:r w:rsidRPr="0028319D">
              <w:tab/>
              <w:t xml:space="preserve">κόστος </w:t>
            </w:r>
            <w:r w:rsidRPr="0028319D">
              <w:tab/>
              <w:t xml:space="preserve">παροχής </w:t>
            </w:r>
            <w:r w:rsidRPr="0028319D">
              <w:tab/>
              <w:t xml:space="preserve">των </w:t>
            </w:r>
          </w:p>
          <w:p w:rsidR="0028319D" w:rsidRPr="0028319D" w:rsidRDefault="0028319D" w:rsidP="0028319D">
            <w:r w:rsidRPr="0028319D">
              <w:t xml:space="preserve">υπηρεσιών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6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1.4 Αναλώσιμα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57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1.5 Εργολαβικό κέρδος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853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1.6 Νόμιμες Κρατήσεις υπέρ Δημοσίου και τρίτων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396"/>
        </w:trPr>
        <w:tc>
          <w:tcPr>
            <w:tcW w:w="7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8319D" w:rsidRPr="0028319D" w:rsidRDefault="0028319D" w:rsidP="0028319D"/>
        </w:tc>
      </w:tr>
      <w:tr w:rsidR="0028319D" w:rsidRPr="0028319D" w:rsidTr="0028319D">
        <w:trPr>
          <w:trHeight w:val="61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ΣΥΝΟΛΟ ΟΙΚΟΝΟΜΙΚΗΣ ΠΡΟΣΦΟΡΑΣ ΜΗ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28319D">
        <w:trPr>
          <w:trHeight w:val="619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ΣΥΝΟΛΟ ΟΙΚΟΝΟΜΙΚΗΣ ΠΡΟΣΦΟΡΑΣ ΣΥΜΠΕΡΙΛΑΜΒΑΝΟΜΕΝΟΥ ΦΠΑ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</w:tbl>
    <w:p w:rsidR="0028319D" w:rsidRPr="0028319D" w:rsidRDefault="0028319D" w:rsidP="0028319D">
      <w:r w:rsidRPr="0028319D">
        <w:rPr>
          <w:i/>
        </w:rPr>
        <w:t xml:space="preserve"> </w:t>
      </w:r>
    </w:p>
    <w:p w:rsidR="0028319D" w:rsidRPr="0028319D" w:rsidRDefault="0028319D" w:rsidP="0028319D">
      <w:pPr>
        <w:jc w:val="both"/>
      </w:pPr>
      <w:r w:rsidRPr="0028319D">
        <w:lastRenderedPageBreak/>
        <w:t xml:space="preserve">Σε περίπτωση που υπάρχει διαφορά μεταξύ των δύο αναγραφών, υπερισχύει η τιμή που έχει αναγραφεί ολογράφως. Σε περίπτωση που αναγράφεται εσφαλμένος Φ.Π.Α, αυτός διορθώνεται από την υπηρεσία. Οι προσφορές στις οποίες δεν προκύπτουν με σαφήνεια οι προσφερόμενες τιμές ή συνολική τιμή απορρίπτονται. </w:t>
      </w:r>
    </w:p>
    <w:p w:rsidR="0028319D" w:rsidRPr="0028319D" w:rsidRDefault="0028319D" w:rsidP="0028319D">
      <w:pPr>
        <w:jc w:val="both"/>
      </w:pPr>
      <w:bookmarkStart w:id="0" w:name="_Hlk35507527"/>
      <w:r w:rsidRPr="0028319D">
        <w:t xml:space="preserve">Η αναθέτουσα αρχή δύναται να ζητήσει από τους προσφέροντες αναλυτική παρουσίαση του τρόπου υπολογισμού της δαπάνης μισθοδοσίας με ανάλυση σε βασικό μισθό, δώρα, επιδόματα </w:t>
      </w:r>
      <w:proofErr w:type="spellStart"/>
      <w:r w:rsidRPr="0028319D">
        <w:t>κ.λ.π</w:t>
      </w:r>
      <w:proofErr w:type="spellEnd"/>
      <w:r w:rsidRPr="0028319D">
        <w:t xml:space="preserve">. </w:t>
      </w:r>
      <w:bookmarkEnd w:id="0"/>
    </w:p>
    <w:p w:rsidR="0028319D" w:rsidRPr="0028319D" w:rsidRDefault="0028319D" w:rsidP="0028319D">
      <w:pPr>
        <w:jc w:val="both"/>
        <w:rPr>
          <w:u w:val="single"/>
        </w:rPr>
      </w:pPr>
      <w:r w:rsidRPr="0028319D">
        <w:t xml:space="preserve">Στον παρόντα διαγωνισμό η Αναθέτουσα Αρχή θεωρεί ως εύλογο ποσοστό διοικητικού κόστους παροχής υπηρεσιών καθαριότητας τουλάχιστον το </w:t>
      </w:r>
      <w:r w:rsidRPr="0028319D">
        <w:rPr>
          <w:b/>
          <w:bCs/>
        </w:rPr>
        <w:t xml:space="preserve">1% </w:t>
      </w:r>
      <w:r w:rsidRPr="0028319D">
        <w:t>(ένα τοις εκατό)</w:t>
      </w:r>
      <w:r w:rsidRPr="0028319D">
        <w:rPr>
          <w:u w:val="single"/>
        </w:rPr>
        <w:t xml:space="preserve">επί του συνολικού εργατικού κόστους, το κόστος αναλωσίμων τουλάχιστον 10% επί του συνολικού εργατικού κόστους και το εργολαβικό κέρδος με τουλάχιστον 4% επί του συνόλου του εργατικού κόστους και ο υποψήφιος ανάδοχος επί ποινή απόρριψης δεν  μπορεί να υπολογίσει ποσοστό μικρότερο αυτού. </w:t>
      </w:r>
    </w:p>
    <w:p w:rsidR="0028319D" w:rsidRPr="0028319D" w:rsidRDefault="0028319D" w:rsidP="0028319D"/>
    <w:p w:rsidR="0028319D" w:rsidRPr="0028319D" w:rsidRDefault="0028319D" w:rsidP="0028319D"/>
    <w:p w:rsidR="0028319D" w:rsidRDefault="0028319D" w:rsidP="0028319D">
      <w:pPr>
        <w:rPr>
          <w:b/>
        </w:rPr>
      </w:pPr>
      <w:r w:rsidRPr="0028319D">
        <w:t xml:space="preserve"> </w:t>
      </w:r>
      <w:r w:rsidRPr="0028319D">
        <w:rPr>
          <w:b/>
        </w:rPr>
        <w:t>ΠΙΝΑΚΑΣ Β</w:t>
      </w:r>
    </w:p>
    <w:p w:rsidR="0028319D" w:rsidRPr="0028319D" w:rsidRDefault="0028319D" w:rsidP="0028319D">
      <w:pPr>
        <w:rPr>
          <w:b/>
        </w:rPr>
      </w:pPr>
    </w:p>
    <w:tbl>
      <w:tblPr>
        <w:tblW w:w="1005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669"/>
        <w:gridCol w:w="1701"/>
        <w:gridCol w:w="1417"/>
        <w:gridCol w:w="1418"/>
        <w:gridCol w:w="1275"/>
      </w:tblGrid>
      <w:tr w:rsidR="0028319D" w:rsidRPr="0028319D" w:rsidTr="0028319D">
        <w:tblPrEx>
          <w:tblCellMar>
            <w:right w:w="0" w:type="dxa"/>
          </w:tblCellMar>
        </w:tblPrEx>
        <w:trPr>
          <w:trHeight w:val="15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ΣΠΟΥΔΑΣΤΙΚΗΣ ΕΣΤΙΑΣ ΑΣΠΑΙΤΕ (όπως αναγράφονται στο παράρτημα I Μέρος Β  της διακήρυξης)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  <w:bookmarkStart w:id="1" w:name="_GoBack"/>
            <w:bookmarkEnd w:id="1"/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5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7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7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10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lastRenderedPageBreak/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7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9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11 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28319D">
        <w:tblPrEx>
          <w:tblCellMar>
            <w:right w:w="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Default="0028319D" w:rsidP="0028319D">
      <w:pPr>
        <w:rPr>
          <w:b/>
        </w:rPr>
      </w:pPr>
    </w:p>
    <w:p w:rsidR="0028319D" w:rsidRDefault="0028319D" w:rsidP="0028319D">
      <w:pPr>
        <w:rPr>
          <w:b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Default="0028319D" w:rsidP="0028319D">
      <w:pPr>
        <w:rPr>
          <w:b/>
          <w:lang w:val="en-US"/>
        </w:rPr>
      </w:pPr>
    </w:p>
    <w:p w:rsidR="0028319D" w:rsidRPr="0028319D" w:rsidRDefault="0028319D" w:rsidP="0028319D">
      <w:pPr>
        <w:rPr>
          <w:b/>
        </w:rPr>
      </w:pPr>
      <w:r>
        <w:rPr>
          <w:b/>
          <w:lang w:val="en-US"/>
        </w:rPr>
        <w:t xml:space="preserve">  </w:t>
      </w:r>
      <w:r w:rsidRPr="0028319D">
        <w:rPr>
          <w:b/>
        </w:rPr>
        <w:t>ΠΙΝΑΚΑΣ Β</w:t>
      </w: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ΦΟΙΤΗΤΙΚΗΣ ΕΣΤΙΑΣ ΝΕΕΜΠ – ΦΕΖ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lastRenderedPageBreak/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Default="0028319D" w:rsidP="0028319D">
      <w:pPr>
        <w:rPr>
          <w:u w:val="single"/>
        </w:rPr>
      </w:pPr>
    </w:p>
    <w:p w:rsidR="0028319D" w:rsidRDefault="0028319D" w:rsidP="0028319D">
      <w:pPr>
        <w:rPr>
          <w:u w:val="single"/>
        </w:rPr>
      </w:pPr>
    </w:p>
    <w:p w:rsidR="0028319D" w:rsidRPr="0028319D" w:rsidRDefault="0028319D" w:rsidP="0028319D">
      <w:pPr>
        <w:rPr>
          <w:u w:val="single"/>
        </w:rPr>
      </w:pPr>
    </w:p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ΦΕΑ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lastRenderedPageBreak/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ΦΕΠΑ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lastRenderedPageBreak/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Δομής Αγίων Αναργύρων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lastRenderedPageBreak/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Κεντρικής Υπηρεσίας Ι.ΝΕ.ΔΙ.ΒΙ.Μ.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lastRenderedPageBreak/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ΦΕ Πάτρας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lastRenderedPageBreak/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Pr="0028319D" w:rsidRDefault="0028319D" w:rsidP="0028319D"/>
    <w:p w:rsidR="0028319D" w:rsidRPr="0028319D" w:rsidRDefault="0028319D" w:rsidP="0028319D"/>
    <w:tbl>
      <w:tblPr>
        <w:tblW w:w="10236" w:type="dxa"/>
        <w:tblInd w:w="145" w:type="dxa"/>
        <w:tblCellMar>
          <w:top w:w="42" w:type="dxa"/>
          <w:left w:w="106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726"/>
        <w:gridCol w:w="1009"/>
        <w:gridCol w:w="1389"/>
        <w:gridCol w:w="1390"/>
        <w:gridCol w:w="1142"/>
      </w:tblGrid>
      <w:tr w:rsidR="0028319D" w:rsidRPr="0028319D" w:rsidTr="003C0105">
        <w:tblPrEx>
          <w:tblCellMar>
            <w:right w:w="0" w:type="dxa"/>
          </w:tblCellMar>
        </w:tblPrEx>
        <w:trPr>
          <w:trHeight w:val="152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ΠΕΡΙΓΡΑΦΗ ΣΤΟΙΧΕΙΩΝ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ΓΙΑ ΤΗΝ ΚΤΙΡΙΑΚΗ ΕΓΚΑΤΑΣΤΑΣΗ ΤΗΣ ΦΕ Καλαμάτας (όπως αναγράφονται στο παράρτημα I Μέρος Β  της διακήρυξης)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ΑΡΙΘΜΟΣ  ΑΤΟΜΩΝ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ΚΑΤΆ</w:t>
            </w:r>
          </w:p>
          <w:p w:rsidR="0028319D" w:rsidRPr="0028319D" w:rsidRDefault="0028319D" w:rsidP="0028319D">
            <w:r w:rsidRPr="0028319D">
              <w:rPr>
                <w:b/>
              </w:rPr>
              <w:t>ΑΤΟΜΟ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ΜΗΝΙΑΙΑ</w:t>
            </w:r>
          </w:p>
          <w:p w:rsidR="0028319D" w:rsidRPr="0028319D" w:rsidRDefault="0028319D" w:rsidP="0028319D">
            <w:r w:rsidRPr="0028319D">
              <w:rPr>
                <w:b/>
              </w:rPr>
              <w:t>ΣΥΝΟΛΙΚΗ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>ΕΤΗΣΙΑ</w:t>
            </w:r>
          </w:p>
          <w:p w:rsidR="0028319D" w:rsidRPr="0028319D" w:rsidRDefault="0028319D" w:rsidP="0028319D">
            <w:r w:rsidRPr="0028319D">
              <w:rPr>
                <w:b/>
              </w:rPr>
              <w:t>ΔΑΠΑΝΗ</w:t>
            </w:r>
          </w:p>
          <w:p w:rsidR="0028319D" w:rsidRPr="0028319D" w:rsidRDefault="0028319D" w:rsidP="0028319D">
            <w:r w:rsidRPr="0028319D">
              <w:rPr>
                <w:b/>
              </w:rPr>
              <w:t>ΧΩΡΙΣ ΦΠΑ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1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Μικτές </w:t>
            </w:r>
            <w:r w:rsidRPr="0028319D">
              <w:tab/>
              <w:t xml:space="preserve">αποδοχές </w:t>
            </w:r>
            <w:r w:rsidRPr="0028319D">
              <w:tab/>
              <w:t xml:space="preserve">προσωπικού  ………………………….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5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2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Εισφορές ΙΚΑ εργοδότη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3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</w:t>
            </w:r>
            <w:r w:rsidRPr="0028319D">
              <w:tab/>
              <w:t xml:space="preserve">επιδόματος  αδείας (περιλαμβανομένων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4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δώρων Πάσχα - Χριστουγέννων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5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αντικατάστασης υπαλλήλων σε άδεια (περιλαμβανομένων  και εισφορών ΙΚΑ του εργοδότη)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101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6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Κόστος αναλωσίμων υλικών καθαρισμού, απολύμανσης, </w:t>
            </w:r>
            <w:r w:rsidRPr="0028319D">
              <w:tab/>
              <w:t xml:space="preserve">εξοπλισμού </w:t>
            </w:r>
            <w:r w:rsidRPr="0028319D">
              <w:tab/>
              <w:t xml:space="preserve">&amp; </w:t>
            </w:r>
            <w:r w:rsidRPr="0028319D">
              <w:tab/>
              <w:t xml:space="preserve">τεχνικών μέσων </w:t>
            </w:r>
            <w:r w:rsidRPr="0028319D">
              <w:tab/>
              <w:t xml:space="preserve">(σάκοι </w:t>
            </w:r>
            <w:r w:rsidRPr="0028319D">
              <w:tab/>
              <w:t>απορριμμάτων, απορρυπαντικά, κλπ.</w:t>
            </w:r>
            <w:r w:rsidRPr="0028319D">
              <w:rPr>
                <w:b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7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7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Διοικητικό κόστος παροχής υπηρεσιών 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rPr>
                <w:b/>
              </w:rPr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8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8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ΛΟΙΠΑ ΕΞΟΔΑ (Να αναφερθούν αναλυτικά και να τεκμηριωθούν κατά την κρίση κάθε υποψηφίου αναδόχου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6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lastRenderedPageBreak/>
              <w:t xml:space="preserve">9 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Εργολαβικό κέρδος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34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10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Νόμιμες κρατήσεις υπέρ Δημοσίου και τρίτων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t xml:space="preserve">11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ΚΑΘΑΡΩΝ ΑΞΙΩΝ (άνευ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right w:w="0" w:type="dxa"/>
          </w:tblCellMar>
        </w:tblPrEx>
        <w:trPr>
          <w:trHeight w:val="4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12 </w:t>
            </w:r>
          </w:p>
        </w:tc>
        <w:tc>
          <w:tcPr>
            <w:tcW w:w="8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rPr>
                <w:b/>
              </w:rPr>
              <w:t xml:space="preserve">ΣΥΝΟΛΑ ΑΞΙΩΝ (με ΦΠΑ)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</w:tbl>
    <w:p w:rsidR="0028319D" w:rsidRPr="0028319D" w:rsidRDefault="0028319D" w:rsidP="0028319D"/>
    <w:p w:rsidR="0028319D" w:rsidRPr="0028319D" w:rsidRDefault="0028319D" w:rsidP="0028319D"/>
    <w:p w:rsidR="0028319D" w:rsidRDefault="0028319D" w:rsidP="0028319D"/>
    <w:p w:rsidR="0028319D" w:rsidRDefault="0028319D" w:rsidP="0028319D"/>
    <w:p w:rsidR="0028319D" w:rsidRPr="0028319D" w:rsidRDefault="0028319D" w:rsidP="0028319D"/>
    <w:p w:rsidR="0028319D" w:rsidRPr="0028319D" w:rsidRDefault="0028319D" w:rsidP="0028319D">
      <w:pPr>
        <w:rPr>
          <w:b/>
        </w:rPr>
      </w:pPr>
      <w:r w:rsidRPr="0028319D">
        <w:rPr>
          <w:b/>
        </w:rPr>
        <w:t>ΠΙΝΑΚΑΣ Γ</w:t>
      </w:r>
    </w:p>
    <w:p w:rsidR="0028319D" w:rsidRPr="0028319D" w:rsidRDefault="0028319D" w:rsidP="0028319D">
      <w:pPr>
        <w:rPr>
          <w:b/>
        </w:rPr>
      </w:pPr>
      <w:r w:rsidRPr="0028319D">
        <w:rPr>
          <w:b/>
        </w:rPr>
        <w:t xml:space="preserve">ΣΥΓΚΕΝΤΡΩΤΙΚΟΣ ΠΙΝΑΚΑΣ </w:t>
      </w:r>
    </w:p>
    <w:tbl>
      <w:tblPr>
        <w:tblW w:w="9855" w:type="dxa"/>
        <w:tblInd w:w="37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82"/>
        <w:gridCol w:w="2956"/>
        <w:gridCol w:w="1634"/>
        <w:gridCol w:w="1514"/>
        <w:gridCol w:w="1589"/>
        <w:gridCol w:w="1580"/>
      </w:tblGrid>
      <w:tr w:rsidR="0028319D" w:rsidRPr="0028319D" w:rsidTr="003C0105">
        <w:tblPrEx>
          <w:tblCellMar>
            <w:bottom w:w="0" w:type="dxa"/>
          </w:tblCellMar>
        </w:tblPrEx>
        <w:trPr>
          <w:trHeight w:val="88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8319D" w:rsidRPr="0028319D" w:rsidRDefault="0028319D" w:rsidP="0028319D">
            <w:r w:rsidRPr="0028319D">
              <w:rPr>
                <w:b/>
              </w:rPr>
              <w:t xml:space="preserve">Α/Α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8319D" w:rsidRPr="0028319D" w:rsidRDefault="0028319D" w:rsidP="0028319D">
            <w:r w:rsidRPr="0028319D">
              <w:rPr>
                <w:b/>
              </w:rPr>
              <w:t xml:space="preserve">ΠΑΡΕΧΟΜΕΝΕΣ ΥΠΗΡΕΣΙΕΣ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8319D" w:rsidRPr="0028319D" w:rsidRDefault="0028319D" w:rsidP="0028319D">
            <w:r w:rsidRPr="0028319D">
              <w:rPr>
                <w:b/>
              </w:rPr>
              <w:t xml:space="preserve">ΜΗΝΙΑΙΑ </w:t>
            </w:r>
          </w:p>
          <w:p w:rsidR="0028319D" w:rsidRPr="0028319D" w:rsidRDefault="0028319D" w:rsidP="0028319D">
            <w:r w:rsidRPr="0028319D">
              <w:rPr>
                <w:b/>
              </w:rPr>
              <w:t xml:space="preserve">ΚΑΘΑΡΗ ΑΞΙΑ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8319D" w:rsidRPr="0028319D" w:rsidRDefault="0028319D" w:rsidP="0028319D">
            <w:r w:rsidRPr="0028319D">
              <w:rPr>
                <w:b/>
              </w:rPr>
              <w:t xml:space="preserve">ΦΠΑ 24%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8319D" w:rsidRPr="0028319D" w:rsidRDefault="0028319D" w:rsidP="0028319D">
            <w:r w:rsidRPr="0028319D">
              <w:rPr>
                <w:b/>
              </w:rPr>
              <w:t xml:space="preserve">ΜΗΝΕΣ ΠΑΡΟΧΗΣ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28319D" w:rsidRPr="0028319D" w:rsidRDefault="0028319D" w:rsidP="0028319D">
            <w:r w:rsidRPr="0028319D">
              <w:rPr>
                <w:b/>
              </w:rPr>
              <w:t xml:space="preserve">ΤΕΛΙΚΗ ΑΞΙΑ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1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Σ.Ε. ΑΣΠΑΙΤΕ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Δ. ΑΓΙΩΝ ΑΝΑΡΓΥΡΩΝ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Φ.Ε. ΚΑΛΑΜΑΤΑΣ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4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Ν.Ε.Ε.Μ.Π. – Φ.Ε.Ζ.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5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Φ.Ε. ΠΑΤΡΑΣ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6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Φ.Ε.ΑΘΗΝΑΣ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63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7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Φ.Ε. ΠΑΝΕΠΙΣΤΗΜΙΟΥ ΑΘΗΝΩΝ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8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>ΚΕΝΤΡΙΚΗ ΥΠΗΡΕΣΙΑ ΑΘΗΝΑ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pPr>
              <w:rPr>
                <w:lang w:val="en-GB"/>
              </w:rPr>
            </w:pPr>
            <w:r w:rsidRPr="0028319D">
              <w:rPr>
                <w:lang w:val="en-GB"/>
              </w:rPr>
              <w:t>36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384"/>
        </w:trPr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Συνολική Μηνιαία Αξία: 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634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Συνολικό </w:t>
            </w:r>
            <w:r w:rsidRPr="0028319D">
              <w:tab/>
              <w:t xml:space="preserve">κόστος </w:t>
            </w:r>
            <w:r w:rsidRPr="0028319D">
              <w:tab/>
              <w:t xml:space="preserve">παροχής </w:t>
            </w:r>
            <w:r w:rsidRPr="0028319D">
              <w:tab/>
              <w:t xml:space="preserve">υπηρεσιών (αριθμητικά):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/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  <w:tr w:rsidR="0028319D" w:rsidRPr="0028319D" w:rsidTr="003C0105">
        <w:tblPrEx>
          <w:tblCellMar>
            <w:bottom w:w="0" w:type="dxa"/>
          </w:tblCellMar>
        </w:tblPrEx>
        <w:trPr>
          <w:trHeight w:val="638"/>
        </w:trPr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Συνολικός </w:t>
            </w:r>
            <w:r w:rsidRPr="0028319D">
              <w:tab/>
              <w:t xml:space="preserve">κόστος </w:t>
            </w:r>
            <w:r w:rsidRPr="0028319D">
              <w:tab/>
              <w:t xml:space="preserve">παροχής </w:t>
            </w:r>
            <w:r w:rsidRPr="0028319D">
              <w:tab/>
              <w:t xml:space="preserve">υπηρεσιών (ολογράφως):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>
            <w:r w:rsidRPr="0028319D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319D" w:rsidRPr="0028319D" w:rsidRDefault="0028319D" w:rsidP="0028319D"/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19D" w:rsidRPr="0028319D" w:rsidRDefault="0028319D" w:rsidP="0028319D"/>
        </w:tc>
      </w:tr>
    </w:tbl>
    <w:p w:rsidR="009D20C3" w:rsidRDefault="009D20C3"/>
    <w:sectPr w:rsidR="009D20C3" w:rsidSect="0028319D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9D"/>
    <w:rsid w:val="0028319D"/>
    <w:rsid w:val="009D20C3"/>
    <w:rsid w:val="00DF7F1D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CF15-EB9E-410A-87CF-57B15EC8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28319D"/>
    <w:pPr>
      <w:keepNext/>
      <w:keepLines/>
      <w:spacing w:after="0"/>
      <w:ind w:left="10" w:right="3383" w:hanging="10"/>
      <w:jc w:val="right"/>
      <w:outlineLvl w:val="0"/>
    </w:pPr>
    <w:rPr>
      <w:rFonts w:ascii="Calibri" w:eastAsia="Calibri" w:hAnsi="Calibri" w:cs="Calibri"/>
      <w:color w:val="000000"/>
      <w:sz w:val="32"/>
      <w:lang w:eastAsia="el-GR"/>
    </w:rPr>
  </w:style>
  <w:style w:type="paragraph" w:styleId="2">
    <w:name w:val="heading 2"/>
    <w:next w:val="a"/>
    <w:link w:val="2Char"/>
    <w:uiPriority w:val="9"/>
    <w:unhideWhenUsed/>
    <w:qFormat/>
    <w:rsid w:val="0028319D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33399"/>
      <w:sz w:val="28"/>
      <w:lang w:eastAsia="el-GR"/>
    </w:rPr>
  </w:style>
  <w:style w:type="paragraph" w:styleId="3">
    <w:name w:val="heading 3"/>
    <w:next w:val="a"/>
    <w:link w:val="3Char"/>
    <w:uiPriority w:val="9"/>
    <w:unhideWhenUsed/>
    <w:qFormat/>
    <w:rsid w:val="0028319D"/>
    <w:pPr>
      <w:keepNext/>
      <w:keepLines/>
      <w:spacing w:after="3" w:line="265" w:lineRule="auto"/>
      <w:ind w:left="10" w:hanging="10"/>
      <w:outlineLvl w:val="2"/>
    </w:pPr>
    <w:rPr>
      <w:rFonts w:ascii="Calibri" w:eastAsia="Calibri" w:hAnsi="Calibri" w:cs="Calibri"/>
      <w:b/>
      <w:color w:val="002060"/>
      <w:sz w:val="24"/>
      <w:lang w:eastAsia="el-GR"/>
    </w:rPr>
  </w:style>
  <w:style w:type="paragraph" w:styleId="4">
    <w:name w:val="heading 4"/>
    <w:next w:val="a"/>
    <w:link w:val="4Char"/>
    <w:uiPriority w:val="9"/>
    <w:unhideWhenUsed/>
    <w:qFormat/>
    <w:rsid w:val="0028319D"/>
    <w:pPr>
      <w:keepNext/>
      <w:keepLines/>
      <w:spacing w:after="46" w:line="249" w:lineRule="auto"/>
      <w:ind w:left="10" w:hanging="10"/>
      <w:jc w:val="both"/>
      <w:outlineLvl w:val="3"/>
    </w:pPr>
    <w:rPr>
      <w:rFonts w:ascii="Calibri" w:eastAsia="Calibri" w:hAnsi="Calibri" w:cs="Calibri"/>
      <w:b/>
      <w:color w:val="000000"/>
      <w:lang w:eastAsia="el-GR"/>
    </w:rPr>
  </w:style>
  <w:style w:type="paragraph" w:styleId="5">
    <w:name w:val="heading 5"/>
    <w:next w:val="a"/>
    <w:link w:val="5Char"/>
    <w:uiPriority w:val="9"/>
    <w:unhideWhenUsed/>
    <w:qFormat/>
    <w:rsid w:val="0028319D"/>
    <w:pPr>
      <w:keepNext/>
      <w:keepLines/>
      <w:spacing w:after="46" w:line="249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319D"/>
    <w:rPr>
      <w:rFonts w:ascii="Calibri" w:eastAsia="Calibri" w:hAnsi="Calibri" w:cs="Calibri"/>
      <w:color w:val="000000"/>
      <w:sz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8319D"/>
    <w:rPr>
      <w:rFonts w:ascii="Calibri" w:eastAsia="Calibri" w:hAnsi="Calibri" w:cs="Calibri"/>
      <w:b/>
      <w:color w:val="333399"/>
      <w:sz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28319D"/>
    <w:rPr>
      <w:rFonts w:ascii="Calibri" w:eastAsia="Calibri" w:hAnsi="Calibri" w:cs="Calibri"/>
      <w:b/>
      <w:color w:val="002060"/>
      <w:sz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28319D"/>
    <w:rPr>
      <w:rFonts w:ascii="Calibri" w:eastAsia="Calibri" w:hAnsi="Calibri" w:cs="Calibri"/>
      <w:b/>
      <w:color w:val="000000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8319D"/>
    <w:rPr>
      <w:rFonts w:ascii="Calibri" w:eastAsia="Calibri" w:hAnsi="Calibri" w:cs="Calibri"/>
      <w:b/>
      <w:color w:val="000000"/>
      <w:lang w:eastAsia="el-GR"/>
    </w:rPr>
  </w:style>
  <w:style w:type="table" w:customStyle="1" w:styleId="TableGrid">
    <w:name w:val="TableGrid"/>
    <w:rsid w:val="0028319D"/>
    <w:pPr>
      <w:spacing w:after="0" w:line="240" w:lineRule="auto"/>
    </w:pPr>
    <w:rPr>
      <w:rFonts w:ascii="Calibri" w:eastAsia="Times New Roman" w:hAnsi="Calibri" w:cs="Times New Roman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8319D"/>
    <w:pPr>
      <w:spacing w:after="109" w:line="247" w:lineRule="auto"/>
      <w:ind w:left="720" w:right="1" w:hanging="5"/>
      <w:contextualSpacing/>
      <w:jc w:val="both"/>
    </w:pPr>
    <w:rPr>
      <w:rFonts w:ascii="Calibri" w:eastAsia="Calibri" w:hAnsi="Calibri" w:cs="Calibri"/>
      <w:color w:val="000000"/>
      <w:lang w:eastAsia="el-GR"/>
    </w:rPr>
  </w:style>
  <w:style w:type="table" w:styleId="a4">
    <w:name w:val="Table Grid"/>
    <w:basedOn w:val="a1"/>
    <w:rsid w:val="002831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rsid w:val="0028319D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5">
    <w:name w:val="No Spacing"/>
    <w:uiPriority w:val="1"/>
    <w:qFormat/>
    <w:rsid w:val="0028319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6">
    <w:name w:val="Emphasis"/>
    <w:uiPriority w:val="20"/>
    <w:qFormat/>
    <w:rsid w:val="0028319D"/>
    <w:rPr>
      <w:rFonts w:cs="Times New Roman"/>
      <w:i/>
      <w:iCs/>
    </w:rPr>
  </w:style>
  <w:style w:type="paragraph" w:customStyle="1" w:styleId="Default">
    <w:name w:val="Default"/>
    <w:rsid w:val="0028319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7">
    <w:name w:val="Body Text Indent"/>
    <w:basedOn w:val="a"/>
    <w:link w:val="Char"/>
    <w:uiPriority w:val="99"/>
    <w:rsid w:val="0028319D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character" w:customStyle="1" w:styleId="Char">
    <w:name w:val="Σώμα κείμενου με εσοχή Char"/>
    <w:basedOn w:val="a0"/>
    <w:link w:val="a7"/>
    <w:uiPriority w:val="99"/>
    <w:rsid w:val="0028319D"/>
    <w:rPr>
      <w:rFonts w:ascii="Verdana" w:eastAsia="Times New Roman" w:hAnsi="Verdana" w:cs="Times New Roman"/>
      <w:sz w:val="16"/>
      <w:szCs w:val="16"/>
      <w:lang w:eastAsia="el-GR"/>
    </w:rPr>
  </w:style>
  <w:style w:type="character" w:styleId="a8">
    <w:name w:val="annotation reference"/>
    <w:uiPriority w:val="99"/>
    <w:semiHidden/>
    <w:unhideWhenUsed/>
    <w:rsid w:val="0028319D"/>
    <w:rPr>
      <w:sz w:val="16"/>
      <w:szCs w:val="16"/>
    </w:rPr>
  </w:style>
  <w:style w:type="paragraph" w:styleId="a9">
    <w:name w:val="annotation text"/>
    <w:basedOn w:val="a"/>
    <w:link w:val="Char0"/>
    <w:uiPriority w:val="99"/>
    <w:semiHidden/>
    <w:unhideWhenUsed/>
    <w:rsid w:val="0028319D"/>
    <w:pPr>
      <w:spacing w:after="109" w:line="247" w:lineRule="auto"/>
      <w:ind w:left="5" w:right="1" w:hanging="5"/>
      <w:jc w:val="both"/>
    </w:pPr>
    <w:rPr>
      <w:rFonts w:ascii="Calibri" w:eastAsia="Calibri" w:hAnsi="Calibri" w:cs="Calibri"/>
      <w:color w:val="000000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9"/>
    <w:uiPriority w:val="99"/>
    <w:semiHidden/>
    <w:rsid w:val="0028319D"/>
    <w:rPr>
      <w:rFonts w:ascii="Calibri" w:eastAsia="Calibri" w:hAnsi="Calibri" w:cs="Calibri"/>
      <w:color w:val="000000"/>
      <w:sz w:val="20"/>
      <w:szCs w:val="20"/>
      <w:lang w:eastAsia="el-GR"/>
    </w:rPr>
  </w:style>
  <w:style w:type="paragraph" w:styleId="aa">
    <w:name w:val="annotation subject"/>
    <w:basedOn w:val="a9"/>
    <w:next w:val="a9"/>
    <w:link w:val="Char1"/>
    <w:uiPriority w:val="99"/>
    <w:semiHidden/>
    <w:unhideWhenUsed/>
    <w:rsid w:val="0028319D"/>
    <w:rPr>
      <w:b/>
      <w:bCs/>
    </w:rPr>
  </w:style>
  <w:style w:type="character" w:customStyle="1" w:styleId="Char1">
    <w:name w:val="Θέμα σχολίου Char"/>
    <w:basedOn w:val="Char0"/>
    <w:link w:val="aa"/>
    <w:uiPriority w:val="99"/>
    <w:semiHidden/>
    <w:rsid w:val="0028319D"/>
    <w:rPr>
      <w:rFonts w:ascii="Calibri" w:eastAsia="Calibri" w:hAnsi="Calibri" w:cs="Calibri"/>
      <w:b/>
      <w:bCs/>
      <w:color w:val="000000"/>
      <w:sz w:val="20"/>
      <w:szCs w:val="20"/>
      <w:lang w:eastAsia="el-GR"/>
    </w:rPr>
  </w:style>
  <w:style w:type="paragraph" w:styleId="ab">
    <w:name w:val="Balloon Text"/>
    <w:basedOn w:val="a"/>
    <w:link w:val="Char2"/>
    <w:uiPriority w:val="99"/>
    <w:semiHidden/>
    <w:unhideWhenUsed/>
    <w:rsid w:val="0028319D"/>
    <w:pPr>
      <w:spacing w:after="0" w:line="240" w:lineRule="auto"/>
      <w:ind w:left="5" w:right="1" w:hanging="5"/>
      <w:jc w:val="both"/>
    </w:pPr>
    <w:rPr>
      <w:rFonts w:ascii="Segoe UI" w:eastAsia="Calibri" w:hAnsi="Segoe UI" w:cs="Segoe UI"/>
      <w:color w:val="000000"/>
      <w:sz w:val="18"/>
      <w:szCs w:val="18"/>
      <w:lang w:eastAsia="el-GR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28319D"/>
    <w:rPr>
      <w:rFonts w:ascii="Segoe UI" w:eastAsia="Calibri" w:hAnsi="Segoe UI" w:cs="Segoe UI"/>
      <w:color w:val="000000"/>
      <w:sz w:val="18"/>
      <w:szCs w:val="18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28319D"/>
    <w:pPr>
      <w:spacing w:after="120" w:line="480" w:lineRule="auto"/>
      <w:ind w:left="283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28319D"/>
    <w:rPr>
      <w:rFonts w:ascii="Calibri" w:eastAsia="Calibri" w:hAnsi="Calibri" w:cs="Calibri"/>
      <w:color w:val="000000"/>
      <w:lang w:eastAsia="el-GR"/>
    </w:rPr>
  </w:style>
  <w:style w:type="paragraph" w:styleId="ac">
    <w:name w:val="Body Text"/>
    <w:basedOn w:val="a"/>
    <w:link w:val="Char3"/>
    <w:uiPriority w:val="99"/>
    <w:semiHidden/>
    <w:unhideWhenUsed/>
    <w:rsid w:val="0028319D"/>
    <w:pPr>
      <w:spacing w:after="120" w:line="247" w:lineRule="auto"/>
      <w:ind w:left="5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character" w:customStyle="1" w:styleId="Char3">
    <w:name w:val="Σώμα κειμένου Char"/>
    <w:basedOn w:val="a0"/>
    <w:link w:val="ac"/>
    <w:uiPriority w:val="99"/>
    <w:semiHidden/>
    <w:rsid w:val="0028319D"/>
    <w:rPr>
      <w:rFonts w:ascii="Calibri" w:eastAsia="Calibri" w:hAnsi="Calibri" w:cs="Calibri"/>
      <w:color w:val="000000"/>
      <w:lang w:eastAsia="el-GR"/>
    </w:rPr>
  </w:style>
  <w:style w:type="paragraph" w:styleId="ad">
    <w:name w:val="TOC Heading"/>
    <w:basedOn w:val="1"/>
    <w:next w:val="a"/>
    <w:uiPriority w:val="39"/>
    <w:unhideWhenUsed/>
    <w:qFormat/>
    <w:rsid w:val="0028319D"/>
    <w:pPr>
      <w:spacing w:before="240"/>
      <w:ind w:left="0" w:right="0" w:firstLine="0"/>
      <w:jc w:val="left"/>
      <w:outlineLvl w:val="9"/>
    </w:pPr>
    <w:rPr>
      <w:rFonts w:ascii="Calibri Light" w:eastAsia="Times New Roman" w:hAnsi="Calibri Light" w:cs="Times New Roman"/>
      <w:color w:val="2E74B5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28319D"/>
    <w:pPr>
      <w:spacing w:after="109" w:line="247" w:lineRule="auto"/>
      <w:ind w:left="220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30">
    <w:name w:val="toc 3"/>
    <w:basedOn w:val="a"/>
    <w:next w:val="a"/>
    <w:autoRedefine/>
    <w:uiPriority w:val="39"/>
    <w:unhideWhenUsed/>
    <w:rsid w:val="0028319D"/>
    <w:pPr>
      <w:spacing w:after="109" w:line="247" w:lineRule="auto"/>
      <w:ind w:left="440"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28319D"/>
    <w:pPr>
      <w:spacing w:after="109" w:line="247" w:lineRule="auto"/>
      <w:ind w:right="1" w:hanging="5"/>
      <w:jc w:val="both"/>
    </w:pPr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uiPriority w:val="99"/>
    <w:unhideWhenUsed/>
    <w:rsid w:val="002831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1764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2020-06-25T10:17:00Z</dcterms:created>
  <dcterms:modified xsi:type="dcterms:W3CDTF">2020-06-25T10:23:00Z</dcterms:modified>
</cp:coreProperties>
</file>