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4C" w:rsidRDefault="000D1F4C" w:rsidP="000D1F4C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 xml:space="preserve">Σ ΟΙΚΟΝΟΜΙΚΗΣ ΠΡΟΣΦΟΡΑΣ </w:t>
      </w:r>
    </w:p>
    <w:p w:rsidR="000D1F4C" w:rsidRPr="004C1023" w:rsidRDefault="000D1F4C" w:rsidP="000D1F4C">
      <w:pPr>
        <w:pStyle w:val="normalwithoutspacing"/>
        <w:spacing w:before="57" w:after="57"/>
        <w:jc w:val="center"/>
        <w:rPr>
          <w:b/>
          <w:szCs w:val="22"/>
        </w:rPr>
      </w:pPr>
    </w:p>
    <w:p w:rsidR="000D1F4C" w:rsidRDefault="000D1F4C" w:rsidP="000D1F4C">
      <w:pPr>
        <w:pStyle w:val="normalwithoutspacing"/>
        <w:spacing w:before="57" w:after="57"/>
        <w:jc w:val="center"/>
        <w:rPr>
          <w:b/>
          <w:sz w:val="20"/>
          <w:szCs w:val="20"/>
        </w:rPr>
      </w:pPr>
      <w:r w:rsidRPr="00BD2E99">
        <w:rPr>
          <w:b/>
          <w:sz w:val="20"/>
          <w:szCs w:val="20"/>
        </w:rPr>
        <w:t>ΠΑΡΟΧΗ ΥΠΗΡΕΣΙΩΝ ΣΥΝΤΗΡΗΣΗΣ / ΥΠΟΣΤΗΡΙΞΗΣ ΤΟΥ ΟΛΟΚΛΗΡΩΜΕΝΟΥ ΠΛΗΡΟΦΟΡΙΑΚΟΥ ΣΥΣΤΗΜΑΤΟΣ «ΑΙΧΜΕΣ BUSINESS SUITE»</w:t>
      </w:r>
    </w:p>
    <w:p w:rsidR="000D1F4C" w:rsidRDefault="000D1F4C" w:rsidP="000D1F4C">
      <w:pPr>
        <w:pStyle w:val="normalwithoutspacing"/>
        <w:spacing w:before="57" w:after="57"/>
        <w:jc w:val="center"/>
        <w:rPr>
          <w:b/>
          <w:szCs w:val="22"/>
        </w:rPr>
      </w:pPr>
      <w:r w:rsidRPr="00F16EB2">
        <w:rPr>
          <w:b/>
          <w:szCs w:val="22"/>
        </w:rPr>
        <w:t xml:space="preserve">CPV : </w:t>
      </w:r>
      <w:r w:rsidRPr="00482E13">
        <w:rPr>
          <w:rFonts w:cs="Segoe UI"/>
          <w:b/>
        </w:rPr>
        <w:t>72263000-6</w:t>
      </w:r>
    </w:p>
    <w:p w:rsidR="000D1F4C" w:rsidRPr="00F16EB2" w:rsidRDefault="000D1F4C" w:rsidP="000D1F4C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45.500,00 € πλέον Φ.Π.Α. και 56.420,00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597"/>
        <w:gridCol w:w="2063"/>
        <w:gridCol w:w="2058"/>
      </w:tblGrid>
      <w:tr w:rsidR="000D1F4C" w:rsidRPr="00F93977" w:rsidTr="008F3E87">
        <w:tc>
          <w:tcPr>
            <w:tcW w:w="534" w:type="dxa"/>
            <w:shd w:val="clear" w:color="auto" w:fill="FBE4D5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392" w:type="dxa"/>
            <w:shd w:val="clear" w:color="auto" w:fill="FBE4D5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Αντικείμενο Συντήρησης / Υποστήριξης</w:t>
            </w:r>
          </w:p>
        </w:tc>
        <w:tc>
          <w:tcPr>
            <w:tcW w:w="2464" w:type="dxa"/>
            <w:shd w:val="clear" w:color="auto" w:fill="FBE4D5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Αξία πλέον ΦΠΑ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(€)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ΑΡΙΘΜΗΤΙΚΑ</w:t>
            </w:r>
          </w:p>
        </w:tc>
        <w:tc>
          <w:tcPr>
            <w:tcW w:w="2464" w:type="dxa"/>
            <w:shd w:val="clear" w:color="auto" w:fill="FBE4D5"/>
          </w:tcPr>
          <w:p w:rsidR="000D1F4C" w:rsidRPr="00F93977" w:rsidRDefault="000D1F4C" w:rsidP="008F3E8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Αξία 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πλέον ΦΠΑ</w:t>
            </w:r>
          </w:p>
          <w:p w:rsidR="000D1F4C" w:rsidRPr="00F93977" w:rsidRDefault="000D1F4C" w:rsidP="008F3E87">
            <w:pPr>
              <w:suppressAutoHyphens w:val="0"/>
              <w:spacing w:after="0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(€)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ΟΛΟΓΡΑΦΩΣ</w:t>
            </w:r>
          </w:p>
        </w:tc>
      </w:tr>
      <w:tr w:rsidR="000D1F4C" w:rsidRPr="00F93977" w:rsidTr="008F3E87">
        <w:tc>
          <w:tcPr>
            <w:tcW w:w="534" w:type="dxa"/>
            <w:shd w:val="clear" w:color="auto" w:fill="FBE4D5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4392" w:type="dxa"/>
            <w:shd w:val="clear" w:color="auto" w:fill="FBE4D5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b/>
                <w:color w:val="000000"/>
                <w:szCs w:val="22"/>
                <w:lang w:val="el-GR" w:eastAsia="el-GR"/>
              </w:rPr>
              <w:t>Α. ΑΙΧΜΕΣ BUSINESS SUITE (50 χρήστες) / ΜΙΣΘΟΔΟΣΙΑ (PAYBRAIN) (15 χρήστες)</w:t>
            </w:r>
          </w:p>
        </w:tc>
        <w:tc>
          <w:tcPr>
            <w:tcW w:w="2464" w:type="dxa"/>
            <w:shd w:val="clear" w:color="auto" w:fill="FBE4D5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BE4D5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1</w:t>
            </w:r>
            <w:r w:rsidRPr="00F93977">
              <w:rPr>
                <w:rFonts w:eastAsia="Calibri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Συντήρηση/υποστήριξη του λογισμικού εφαρμογών του συστήματος Διαχείρισης Λογιστικής και Παρακολούθησης των Έργων (ενοποιημένο σύστημα)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ΚΥΚΛΩΜΑΤΑ: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ΠΕΛΑΤΕΣ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ΠΡΟΜΗΘΕΥΤΕΣ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ΑΠΟΘΗΚΗ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ΓΕΝΙΚΗ ΛΟΓΙΣΤΙΚΗ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ΑΞΙΟΓΡΑΦΑ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ΕΡΓΑ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ΔΙΑΧΕΙΡΙΣΗ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ΣΥΣΤΗΜΑ ΑΣΦΑΛΕΙΑΣ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EXTRA FEATURE: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SECURITY ΚΑΤΑ ΕΡΓΟ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2.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του λογισμικού εφαρμογών της Μισθοδοσίας και της Διαχείρισης Παγίων Λογιστικού Συστήματος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ΚΥΚΛΩΜΑΤΑ: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• ΠΑΓΙΑ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3.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Συντήρηση/υποστήριξη του λογισμικού Διαχείρισης Κύκλου Πληρωμών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EXTRA FEATURE: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ΚΥΚΛΟΣ ΠΛΗΡΩΜΩΝ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4.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 xml:space="preserve">Συντήρηση/υποστήριξη Υποσυστημάτων Προϋπολογισμού 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και Μητρώου Δεσμεύσεων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ΚΥΚΛΩΜΑΤΑ: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• ΠΡΟΫΠΟΛΟΓΙΣΜΟΣ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EXTRA FEATURE: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lastRenderedPageBreak/>
              <w:t>• ΜΗΤΡΩΟ ΔΕΣΜΕΥΣΕΩΝ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5.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Συντήρηση/υποστήριξη Υποσυστήματος Κρυπτογραφημένων 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Κωδικών Πρόσβασης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EXTRA FEATURE: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• ΚΡΥΠΤΟΓΡΑΦΗΜΕΝΟΙ ΚΩΔΙΚΟΙ ΠΡΟΣΒΑΣΗΣ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6.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Συντήρηση/υποστήριξη Υποσυστήματος </w:t>
            </w:r>
            <w:proofErr w:type="spellStart"/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Security</w:t>
            </w:r>
            <w:proofErr w:type="spellEnd"/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 xml:space="preserve"> κατά Λογαριασμό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EXTRA FEATURE: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br/>
              <w:t>• SECURITY ΚΑΤΑ ΛΟΓΑΡΙΑΣΜΟ ΓΕΝΙΚΗΣ ΛΟΓΙΣΤΙΚΗΣ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7.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Επέκτασης Πληροφοριακού Συστήματος ΑΙΧΜΕΣ Business Suite για την Παροχή Μηχανογραφικής Υποστήριξης στις ΕΣΤΙΕΣ (η Υποστήριξη αφορά το Κεντρικό Λογιστήριο)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8.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Υποστήριξη τελικών χρηστών των πέντε (5) μηχανογραφημένων Εστιών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9.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D7281A" w:rsidRDefault="000D1F4C" w:rsidP="008F3E87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</w:t>
            </w:r>
            <w:r w:rsidRPr="00D7281A">
              <w:rPr>
                <w:rFonts w:eastAsia="Calibri"/>
                <w:color w:val="000000"/>
                <w:szCs w:val="22"/>
                <w:lang w:val="en-US" w:eastAsia="el-GR"/>
              </w:rPr>
              <w:t>/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υποστήριξη</w:t>
            </w:r>
            <w:r w:rsidRPr="00D7281A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ΑΙΧΜΕΣ</w:t>
            </w:r>
            <w:r w:rsidRPr="00D7281A">
              <w:rPr>
                <w:rFonts w:eastAsia="Calibri"/>
                <w:color w:val="000000"/>
                <w:szCs w:val="22"/>
                <w:lang w:val="en-US" w:eastAsia="el-GR"/>
              </w:rPr>
              <w:t xml:space="preserve"> Business Suite</w:t>
            </w:r>
          </w:p>
          <w:p w:rsidR="000D1F4C" w:rsidRPr="00D7281A" w:rsidRDefault="000D1F4C" w:rsidP="008F3E87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n-US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n-US" w:eastAsia="el-GR"/>
              </w:rPr>
              <w:t>EXTRA FEATURE: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«Αυτόματη Ανάρτηση στη Διαύγεια Πράξεων Οικονομικού Ενδιαφέροντος»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auto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10.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0D1F4C" w:rsidRPr="00D7281A" w:rsidRDefault="000D1F4C" w:rsidP="008F3E87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PAYBRAIN</w:t>
            </w:r>
          </w:p>
          <w:p w:rsidR="000D1F4C" w:rsidRPr="00D7281A" w:rsidRDefault="000D1F4C" w:rsidP="008F3E87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ΚΥΚΛΩΜΑ:</w:t>
            </w:r>
          </w:p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«Πληρωμή Μισθοδοσίας από Ενιαία Αρχή Πληρωμών»</w:t>
            </w: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auto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BE4D5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4392" w:type="dxa"/>
            <w:shd w:val="clear" w:color="auto" w:fill="FBE4D5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Β. ΠΣ ΔΙΕΚ/ΣΕΚ/ΣΔΕ</w:t>
            </w:r>
          </w:p>
        </w:tc>
        <w:tc>
          <w:tcPr>
            <w:tcW w:w="2464" w:type="dxa"/>
            <w:shd w:val="clear" w:color="auto" w:fill="FBE4D5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BE4D5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1.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του πληροφοριακού συστήματος για την υποστήριξη της Διαχείρισης των Δημοσίων ΙΕΚ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2.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για το έργο «Επέκταση Πληροφοριακού Συστήματος Υποστήριξης του Έργου Διαχείρισης των Δημοσίων ΙΕΚ για την Υποστήριξη των ΣΔΕ»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3.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επέκτασης του Πληροφοριακού Συστήματος Υποστήριξης των ΔΙΕΚ/ΔΣΕΚ για την On-</w:t>
            </w:r>
            <w:proofErr w:type="spellStart"/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line</w:t>
            </w:r>
            <w:proofErr w:type="spellEnd"/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 xml:space="preserve"> Ηλεκτρονική Υποβολή Αιτήσεων Ωρομισθίων Εκπαιδευτών ΔΙΕΚ/ΔΣΕΚ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4.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Συντήρηση/Υποστήριξη Επέκτασης του Πληροφοριακού Συστήματος </w:t>
            </w: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lastRenderedPageBreak/>
              <w:t>Υποστήριξης των ΣΔΕ για την on-</w:t>
            </w:r>
            <w:proofErr w:type="spellStart"/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line</w:t>
            </w:r>
            <w:proofErr w:type="spellEnd"/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 xml:space="preserve"> Ηλεκτρονική Υποβολή Αιτήσεων Ωρομισθίων Εκπαιδευτών &amp; Συμβούλων και την Διασύνδεση με το ΟΠΣ ΕΣΠΑ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  <w:r w:rsidRPr="00F93977">
              <w:rPr>
                <w:rFonts w:eastAsia="Calibri"/>
                <w:color w:val="000000"/>
                <w:szCs w:val="22"/>
                <w:lang w:val="el-GR"/>
              </w:rPr>
              <w:t>5.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left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D7281A">
              <w:rPr>
                <w:rFonts w:eastAsia="Calibri"/>
                <w:color w:val="000000"/>
                <w:szCs w:val="22"/>
                <w:lang w:val="el-GR" w:eastAsia="el-GR"/>
              </w:rPr>
              <w:t>Συντήρηση/Υποστήριξη Επέκτασης του ΠΣ ΔΙΕΚ/ΣΕΚ/ΣΔΕ για την Υποστήριξη της Πρόσκλησης Εκπαιδευτών ΚΔΒΜ 2018 (από τη λήξη της εγγύησης ήτοι 27/10/2019 ή την έναρξη του έργου, όποιο είναι αργότερα)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4392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</w:pP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Τελική 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Αξία πλέον Φ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Π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246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4392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b/>
                <w:color w:val="000000"/>
                <w:szCs w:val="22"/>
                <w:lang w:val="el-GR" w:eastAsia="el-GR"/>
              </w:rPr>
            </w:pPr>
            <w:r w:rsidRPr="00F93977">
              <w:rPr>
                <w:rFonts w:eastAsia="Calibri"/>
                <w:b/>
                <w:color w:val="000000"/>
                <w:szCs w:val="22"/>
                <w:lang w:val="el-GR" w:eastAsia="el-GR"/>
              </w:rPr>
              <w:t>Φ.Π.Α.</w:t>
            </w:r>
          </w:p>
        </w:tc>
        <w:tc>
          <w:tcPr>
            <w:tcW w:w="246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0D1F4C" w:rsidRPr="00F93977" w:rsidTr="008F3E87">
        <w:tc>
          <w:tcPr>
            <w:tcW w:w="53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4392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Τελική 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Αξία 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με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 xml:space="preserve"> Φ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Π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D7281A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Α</w:t>
            </w:r>
            <w:r w:rsidRPr="00F93977">
              <w:rPr>
                <w:rFonts w:eastAsia="Calibri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246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2464" w:type="dxa"/>
            <w:shd w:val="clear" w:color="auto" w:fill="F4B083"/>
            <w:vAlign w:val="center"/>
          </w:tcPr>
          <w:p w:rsidR="000D1F4C" w:rsidRPr="00F93977" w:rsidRDefault="000D1F4C" w:rsidP="008F3E87">
            <w:pPr>
              <w:tabs>
                <w:tab w:val="left" w:pos="284"/>
              </w:tabs>
              <w:suppressAutoHyphens w:val="0"/>
              <w:autoSpaceDE w:val="0"/>
              <w:spacing w:after="6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0D1F4C" w:rsidRDefault="000D1F4C" w:rsidP="000D1F4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p w:rsidR="000D1F4C" w:rsidRDefault="000D1F4C" w:rsidP="000D1F4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p w:rsidR="000D1F4C" w:rsidRDefault="000D1F4C" w:rsidP="000D1F4C">
      <w:pPr>
        <w:suppressAutoHyphens w:val="0"/>
        <w:autoSpaceDE w:val="0"/>
        <w:spacing w:after="60"/>
        <w:rPr>
          <w:lang w:val="el-GR"/>
        </w:rPr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0D1F4C" w:rsidRDefault="000D1F4C" w:rsidP="000D1F4C">
      <w:pPr>
        <w:pStyle w:val="normalwithoutspacing"/>
      </w:pPr>
    </w:p>
    <w:p w:rsidR="00CA1748" w:rsidRPr="000D1F4C" w:rsidRDefault="00CA1748">
      <w:pPr>
        <w:rPr>
          <w:lang w:val="el-GR"/>
        </w:rPr>
      </w:pPr>
      <w:bookmarkStart w:id="0" w:name="_GoBack"/>
      <w:bookmarkEnd w:id="0"/>
    </w:p>
    <w:sectPr w:rsidR="00CA1748" w:rsidRPr="000D1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4C"/>
    <w:rsid w:val="000D1F4C"/>
    <w:rsid w:val="00C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BB13-60FA-4B7D-8CFE-E130E78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D1F4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2019-06-06T09:23:00Z</dcterms:created>
  <dcterms:modified xsi:type="dcterms:W3CDTF">2019-06-06T09:23:00Z</dcterms:modified>
</cp:coreProperties>
</file>